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14:paraId="1B4DAD23" w14:textId="77777777" w:rsidR="000D7164" w:rsidRPr="000D7164" w:rsidRDefault="00F3338D" w:rsidP="000D7164">
          <w:r>
            <w:rPr>
              <w:noProof/>
              <w:lang w:bidi="ar-SA"/>
            </w:rPr>
            <w:drawing>
              <wp:inline distT="0" distB="0" distL="0" distR="0" wp14:anchorId="44C5971E" wp14:editId="6B432C2B">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0DF7C846" w14:textId="57ADBB78" w:rsidR="000D7164" w:rsidRPr="000D7164" w:rsidRDefault="000D7164" w:rsidP="000D7164">
      <w:pPr>
        <w:pStyle w:val="Heading1"/>
        <w:rPr>
          <w:szCs w:val="20"/>
        </w:rPr>
      </w:pPr>
      <w:r w:rsidRPr="00A00A1C">
        <w:t>MnMTSS Action Planning Guide</w:t>
      </w:r>
      <w:r w:rsidR="00DE761C">
        <w:t xml:space="preserve"> for District Teams</w:t>
      </w:r>
    </w:p>
    <w:p w14:paraId="6F4BF929" w14:textId="27A5741E" w:rsidR="005838C5" w:rsidRDefault="005838C5" w:rsidP="005838C5">
      <w:pPr>
        <w:spacing w:before="0" w:after="0" w:line="240" w:lineRule="auto"/>
        <w:rPr>
          <w:rStyle w:val="Hyperlink"/>
          <w:rFonts w:cs="Calibri"/>
          <w:lang w:bidi="ar-SA"/>
        </w:rPr>
      </w:pPr>
      <w:r>
        <w:rPr>
          <w:rFonts w:cs="Calibri"/>
          <w:color w:val="000000"/>
          <w:lang w:bidi="ar-SA"/>
        </w:rPr>
        <w:t>The</w:t>
      </w:r>
      <w:r w:rsidRPr="00703FE7">
        <w:rPr>
          <w:rFonts w:cs="Calibri"/>
          <w:color w:val="000000"/>
          <w:lang w:bidi="ar-SA"/>
        </w:rPr>
        <w:t xml:space="preserve"> </w:t>
      </w:r>
      <w:r>
        <w:rPr>
          <w:rFonts w:cs="Calibri"/>
          <w:color w:val="000000"/>
          <w:lang w:bidi="ar-SA"/>
        </w:rPr>
        <w:t xml:space="preserve">Self-Evaluation of </w:t>
      </w:r>
      <w:r w:rsidR="008B0BDB">
        <w:rPr>
          <w:rFonts w:cs="Calibri"/>
          <w:color w:val="000000"/>
          <w:lang w:bidi="ar-SA"/>
        </w:rPr>
        <w:t>the Minnesota Multi-tiered System of Supports (</w:t>
      </w:r>
      <w:r>
        <w:rPr>
          <w:rFonts w:cs="Calibri"/>
          <w:color w:val="000000"/>
          <w:lang w:bidi="ar-SA"/>
        </w:rPr>
        <w:t>MnMTSS</w:t>
      </w:r>
      <w:r w:rsidR="008B0BDB">
        <w:rPr>
          <w:rFonts w:cs="Calibri"/>
          <w:color w:val="000000"/>
          <w:lang w:bidi="ar-SA"/>
        </w:rPr>
        <w:t>)</w:t>
      </w:r>
      <w:r w:rsidR="00D85D10">
        <w:rPr>
          <w:rFonts w:cs="Calibri"/>
          <w:color w:val="000000"/>
          <w:lang w:bidi="ar-SA"/>
        </w:rPr>
        <w:t xml:space="preserve"> for District Leadership Team</w:t>
      </w:r>
      <w:r>
        <w:rPr>
          <w:rFonts w:cs="Calibri"/>
          <w:color w:val="000000"/>
          <w:lang w:bidi="ar-SA"/>
        </w:rPr>
        <w:t xml:space="preserve"> (</w:t>
      </w:r>
      <w:r w:rsidRPr="00703FE7">
        <w:rPr>
          <w:rFonts w:cs="Calibri"/>
          <w:color w:val="000000"/>
          <w:lang w:bidi="ar-SA"/>
        </w:rPr>
        <w:t>SEMI</w:t>
      </w:r>
      <w:r w:rsidR="00D85D10">
        <w:rPr>
          <w:rFonts w:cs="Calibri"/>
          <w:color w:val="000000"/>
          <w:lang w:bidi="ar-SA"/>
        </w:rPr>
        <w:t>_DLT</w:t>
      </w:r>
      <w:r>
        <w:rPr>
          <w:rFonts w:cs="Calibri"/>
          <w:color w:val="000000"/>
          <w:lang w:bidi="ar-SA"/>
        </w:rPr>
        <w:t>)</w:t>
      </w:r>
      <w:r w:rsidRPr="00703FE7">
        <w:rPr>
          <w:rFonts w:cs="Calibri"/>
          <w:color w:val="000000"/>
          <w:lang w:bidi="ar-SA"/>
        </w:rPr>
        <w:t xml:space="preserve"> and th</w:t>
      </w:r>
      <w:r w:rsidR="00D85D10">
        <w:rPr>
          <w:rFonts w:cs="Calibri"/>
          <w:color w:val="000000"/>
          <w:lang w:bidi="ar-SA"/>
        </w:rPr>
        <w:t>is</w:t>
      </w:r>
      <w:r w:rsidRPr="00703FE7">
        <w:rPr>
          <w:rFonts w:cs="Calibri"/>
          <w:color w:val="000000"/>
          <w:lang w:bidi="ar-SA"/>
        </w:rPr>
        <w:t xml:space="preserve"> Action Planning Guide </w:t>
      </w:r>
      <w:r>
        <w:rPr>
          <w:rFonts w:cs="Calibri"/>
          <w:color w:val="000000"/>
          <w:lang w:bidi="ar-SA"/>
        </w:rPr>
        <w:t>are</w:t>
      </w:r>
      <w:r w:rsidRPr="00D03DFF">
        <w:rPr>
          <w:rFonts w:cs="Calibri"/>
          <w:color w:val="000000"/>
          <w:lang w:bidi="ar-SA"/>
        </w:rPr>
        <w:t xml:space="preserve"> part of the </w:t>
      </w:r>
      <w:hyperlink r:id="rId12" w:history="1">
        <w:r w:rsidRPr="00F10FAC">
          <w:rPr>
            <w:rStyle w:val="Hyperlink"/>
            <w:rFonts w:cs="Calibri"/>
            <w:lang w:bidi="ar-SA"/>
          </w:rPr>
          <w:t>MnMTSS Roadmap</w:t>
        </w:r>
      </w:hyperlink>
      <w:r>
        <w:rPr>
          <w:rFonts w:cs="Calibri"/>
          <w:color w:val="000000"/>
          <w:lang w:bidi="ar-SA"/>
        </w:rPr>
        <w:t xml:space="preserve"> which can be found at the Minnesota Department of Education’s </w:t>
      </w:r>
      <w:hyperlink r:id="rId13" w:history="1">
        <w:r w:rsidRPr="00703FE7">
          <w:rPr>
            <w:rStyle w:val="Hyperlink"/>
            <w:rFonts w:cs="Calibri"/>
            <w:lang w:bidi="ar-SA"/>
          </w:rPr>
          <w:t>MnMTSS webpage</w:t>
        </w:r>
      </w:hyperlink>
      <w:r w:rsidR="008B0BDB">
        <w:rPr>
          <w:rStyle w:val="Hyperlink"/>
          <w:rFonts w:cs="Calibri"/>
          <w:lang w:bidi="ar-SA"/>
        </w:rPr>
        <w:t>.</w:t>
      </w:r>
    </w:p>
    <w:p w14:paraId="11646E48" w14:textId="77777777" w:rsidR="008B0BDB" w:rsidRDefault="008B0BDB" w:rsidP="005838C5">
      <w:pPr>
        <w:spacing w:before="0" w:after="0" w:line="240" w:lineRule="auto"/>
        <w:rPr>
          <w:rFonts w:cs="Calibri"/>
          <w:color w:val="000000"/>
          <w:lang w:bidi="ar-SA"/>
        </w:rPr>
      </w:pPr>
    </w:p>
    <w:p w14:paraId="003B219D" w14:textId="46E25B88" w:rsidR="000D7164" w:rsidRPr="00A00A1C" w:rsidRDefault="007A76FD" w:rsidP="000D7164">
      <w:pPr>
        <w:spacing w:before="0" w:after="0" w:line="240" w:lineRule="auto"/>
        <w:rPr>
          <w:rFonts w:ascii="Times New Roman" w:hAnsi="Times New Roman"/>
          <w:sz w:val="24"/>
          <w:szCs w:val="24"/>
          <w:lang w:bidi="ar-SA"/>
        </w:rPr>
      </w:pPr>
      <w:r>
        <w:rPr>
          <w:rFonts w:cs="Calibri"/>
          <w:color w:val="000000"/>
          <w:lang w:bidi="ar-SA"/>
        </w:rPr>
        <w:t xml:space="preserve">They provide a </w:t>
      </w:r>
      <w:r w:rsidR="005838C5" w:rsidRPr="00703FE7">
        <w:rPr>
          <w:rFonts w:cs="Calibri"/>
          <w:color w:val="000000"/>
          <w:lang w:bidi="ar-SA"/>
        </w:rPr>
        <w:t>prov</w:t>
      </w:r>
      <w:r w:rsidR="005838C5" w:rsidRPr="00A00A1C">
        <w:rPr>
          <w:rFonts w:cs="Calibri"/>
          <w:color w:val="000000"/>
          <w:lang w:bidi="ar-SA"/>
        </w:rPr>
        <w:t xml:space="preserve">ide a process through which districts beginning to implement </w:t>
      </w:r>
      <w:r w:rsidR="005E32B6">
        <w:rPr>
          <w:rFonts w:cs="Calibri"/>
          <w:color w:val="000000"/>
          <w:lang w:bidi="ar-SA"/>
        </w:rPr>
        <w:t>Mn</w:t>
      </w:r>
      <w:r w:rsidR="005838C5" w:rsidRPr="00A00A1C">
        <w:rPr>
          <w:rFonts w:cs="Calibri"/>
          <w:color w:val="000000"/>
          <w:lang w:bidi="ar-SA"/>
        </w:rPr>
        <w:t>MTSS</w:t>
      </w:r>
      <w:r w:rsidR="00D85D10">
        <w:rPr>
          <w:rFonts w:cs="Calibri"/>
          <w:color w:val="000000"/>
          <w:lang w:bidi="ar-SA"/>
        </w:rPr>
        <w:t>,</w:t>
      </w:r>
      <w:r w:rsidR="005838C5" w:rsidRPr="00A00A1C">
        <w:rPr>
          <w:rFonts w:cs="Calibri"/>
          <w:color w:val="000000"/>
          <w:lang w:bidi="ar-SA"/>
        </w:rPr>
        <w:t xml:space="preserve"> and those </w:t>
      </w:r>
      <w:r w:rsidR="00D85D10">
        <w:rPr>
          <w:rFonts w:cs="Calibri"/>
          <w:color w:val="000000"/>
          <w:lang w:bidi="ar-SA"/>
        </w:rPr>
        <w:t>that</w:t>
      </w:r>
      <w:r w:rsidR="005838C5" w:rsidRPr="00A00A1C">
        <w:rPr>
          <w:rFonts w:cs="Calibri"/>
          <w:color w:val="000000"/>
          <w:lang w:bidi="ar-SA"/>
        </w:rPr>
        <w:t xml:space="preserve"> have done so for many years</w:t>
      </w:r>
      <w:r w:rsidR="00D85D10">
        <w:rPr>
          <w:rFonts w:cs="Calibri"/>
          <w:color w:val="000000"/>
          <w:lang w:bidi="ar-SA"/>
        </w:rPr>
        <w:t>,</w:t>
      </w:r>
      <w:r w:rsidR="005838C5" w:rsidRPr="00A00A1C">
        <w:rPr>
          <w:rFonts w:cs="Calibri"/>
          <w:color w:val="000000"/>
          <w:lang w:bidi="ar-SA"/>
        </w:rPr>
        <w:t xml:space="preserve"> </w:t>
      </w:r>
      <w:r>
        <w:rPr>
          <w:rFonts w:cs="Calibri"/>
          <w:color w:val="000000"/>
          <w:lang w:bidi="ar-SA"/>
        </w:rPr>
        <w:t>can</w:t>
      </w:r>
      <w:r w:rsidRPr="0075280F">
        <w:rPr>
          <w:rFonts w:asciiTheme="minorHAnsi" w:eastAsia="Calibri" w:hAnsiTheme="minorHAnsi" w:cstheme="minorHAnsi"/>
        </w:rPr>
        <w:t xml:space="preserve"> evaluate their current levels of implementation, plan for continuous improvement towards optimum operation and monitor systemic fidelity and implementation progress.</w:t>
      </w:r>
    </w:p>
    <w:p w14:paraId="4E86D90E" w14:textId="77777777" w:rsidR="000D7164" w:rsidRPr="00A00A1C" w:rsidRDefault="000D7164" w:rsidP="000D7164">
      <w:pPr>
        <w:spacing w:before="0" w:after="0" w:line="240" w:lineRule="auto"/>
        <w:rPr>
          <w:rFonts w:ascii="Times New Roman" w:hAnsi="Times New Roman"/>
          <w:sz w:val="24"/>
          <w:szCs w:val="24"/>
          <w:lang w:bidi="ar-SA"/>
        </w:rPr>
      </w:pPr>
    </w:p>
    <w:p w14:paraId="2641BE30" w14:textId="7CC3C88F" w:rsidR="000D7164" w:rsidRDefault="000D7164" w:rsidP="000D7164">
      <w:pPr>
        <w:spacing w:before="0" w:after="0" w:line="240" w:lineRule="auto"/>
        <w:rPr>
          <w:rFonts w:cs="Calibri"/>
          <w:b/>
          <w:bCs/>
          <w:color w:val="003865" w:themeColor="accent1"/>
          <w:sz w:val="28"/>
          <w:szCs w:val="28"/>
          <w:lang w:bidi="ar-SA"/>
        </w:rPr>
      </w:pPr>
      <w:r>
        <w:rPr>
          <w:rFonts w:cs="Calibri"/>
          <w:b/>
          <w:bCs/>
          <w:color w:val="003865" w:themeColor="accent1"/>
          <w:sz w:val="28"/>
          <w:szCs w:val="28"/>
          <w:lang w:bidi="ar-SA"/>
        </w:rPr>
        <w:t xml:space="preserve">Step 1: Enter results of the </w:t>
      </w:r>
      <w:r w:rsidR="00D85F45">
        <w:rPr>
          <w:rFonts w:cs="Calibri"/>
          <w:b/>
          <w:bCs/>
          <w:color w:val="003865" w:themeColor="accent1"/>
          <w:sz w:val="28"/>
          <w:szCs w:val="28"/>
          <w:lang w:bidi="ar-SA"/>
        </w:rPr>
        <w:t xml:space="preserve">SEMI_DLT </w:t>
      </w:r>
      <w:r>
        <w:rPr>
          <w:rFonts w:cs="Calibri"/>
          <w:b/>
          <w:bCs/>
          <w:color w:val="003865" w:themeColor="accent1"/>
          <w:sz w:val="28"/>
          <w:szCs w:val="28"/>
          <w:lang w:bidi="ar-SA"/>
        </w:rPr>
        <w:t>in the table below</w:t>
      </w:r>
    </w:p>
    <w:p w14:paraId="633C1D93" w14:textId="77777777" w:rsidR="000D7164" w:rsidRDefault="000D7164" w:rsidP="000D7164">
      <w:pPr>
        <w:spacing w:before="0" w:after="0" w:line="240" w:lineRule="auto"/>
        <w:rPr>
          <w:rFonts w:cs="Calibri"/>
          <w:b/>
          <w:bCs/>
          <w:color w:val="000000"/>
          <w:lang w:bidi="ar-SA"/>
        </w:rPr>
      </w:pPr>
    </w:p>
    <w:tbl>
      <w:tblPr>
        <w:tblStyle w:val="TableGrid1"/>
        <w:tblW w:w="0" w:type="auto"/>
        <w:tblLook w:val="04A0" w:firstRow="1" w:lastRow="0" w:firstColumn="1" w:lastColumn="0" w:noHBand="0" w:noVBand="1"/>
      </w:tblPr>
      <w:tblGrid>
        <w:gridCol w:w="3955"/>
        <w:gridCol w:w="1980"/>
        <w:gridCol w:w="1980"/>
        <w:gridCol w:w="2155"/>
      </w:tblGrid>
      <w:tr w:rsidR="000D7164" w:rsidRPr="009F6B2C" w14:paraId="1C3C99E1" w14:textId="77777777" w:rsidTr="00703FE7">
        <w:trPr>
          <w:cnfStyle w:val="100000000000" w:firstRow="1" w:lastRow="0" w:firstColumn="0" w:lastColumn="0" w:oddVBand="0" w:evenVBand="0" w:oddHBand="0" w:evenHBand="0" w:firstRowFirstColumn="0" w:firstRowLastColumn="0" w:lastRowFirstColumn="0" w:lastRowLastColumn="0"/>
          <w:cantSplit/>
          <w:trHeight w:val="845"/>
          <w:tblHeader/>
        </w:trPr>
        <w:tc>
          <w:tcPr>
            <w:tcW w:w="3955" w:type="dxa"/>
          </w:tcPr>
          <w:p w14:paraId="14478A50" w14:textId="77777777" w:rsidR="000D7164" w:rsidRPr="009F6B2C" w:rsidRDefault="000D7164" w:rsidP="005F3FB9">
            <w:pPr>
              <w:rPr>
                <w:b w:val="0"/>
              </w:rPr>
            </w:pPr>
            <w:r>
              <w:t>Component</w:t>
            </w:r>
          </w:p>
        </w:tc>
        <w:tc>
          <w:tcPr>
            <w:tcW w:w="1980" w:type="dxa"/>
          </w:tcPr>
          <w:p w14:paraId="1791E6D9" w14:textId="77777777" w:rsidR="000D7164" w:rsidRDefault="000D7164" w:rsidP="005F3FB9">
            <w:pPr>
              <w:rPr>
                <w:b w:val="0"/>
              </w:rPr>
            </w:pPr>
            <w:r>
              <w:t>Level I</w:t>
            </w:r>
          </w:p>
          <w:p w14:paraId="5351C6C2" w14:textId="79DF2154" w:rsidR="000D7164" w:rsidRPr="009F6B2C" w:rsidRDefault="000D7164" w:rsidP="005F3FB9">
            <w:pPr>
              <w:rPr>
                <w:b w:val="0"/>
              </w:rPr>
            </w:pPr>
            <w:r>
              <w:t>Foundational</w:t>
            </w:r>
            <w:r w:rsidR="008621EB">
              <w:t xml:space="preserve"> (</w:t>
            </w:r>
            <w:r w:rsidR="00E56B95">
              <w:t>29)</w:t>
            </w:r>
          </w:p>
        </w:tc>
        <w:tc>
          <w:tcPr>
            <w:tcW w:w="1980" w:type="dxa"/>
          </w:tcPr>
          <w:p w14:paraId="0342D599" w14:textId="77777777" w:rsidR="000D7164" w:rsidRDefault="000D7164" w:rsidP="005F3FB9">
            <w:pPr>
              <w:rPr>
                <w:b w:val="0"/>
              </w:rPr>
            </w:pPr>
            <w:r>
              <w:t>Level II</w:t>
            </w:r>
          </w:p>
          <w:p w14:paraId="36090F3F" w14:textId="1705C9AA" w:rsidR="000D7164" w:rsidRPr="009F6B2C" w:rsidRDefault="000D7164" w:rsidP="005F3FB9">
            <w:pPr>
              <w:rPr>
                <w:b w:val="0"/>
              </w:rPr>
            </w:pPr>
            <w:r>
              <w:t>Enhancement</w:t>
            </w:r>
            <w:r w:rsidR="00E56B95">
              <w:t>s (24)</w:t>
            </w:r>
          </w:p>
        </w:tc>
        <w:tc>
          <w:tcPr>
            <w:tcW w:w="2155" w:type="dxa"/>
          </w:tcPr>
          <w:p w14:paraId="149AB45D" w14:textId="77777777" w:rsidR="000D7164" w:rsidRDefault="000D7164" w:rsidP="005F3FB9">
            <w:pPr>
              <w:rPr>
                <w:b w:val="0"/>
              </w:rPr>
            </w:pPr>
            <w:r>
              <w:t>Level III</w:t>
            </w:r>
          </w:p>
          <w:p w14:paraId="0E06216A" w14:textId="7F05F614" w:rsidR="000D7164" w:rsidRPr="009F6B2C" w:rsidRDefault="000D7164" w:rsidP="005F3FB9">
            <w:pPr>
              <w:rPr>
                <w:b w:val="0"/>
              </w:rPr>
            </w:pPr>
            <w:r>
              <w:t>Advance</w:t>
            </w:r>
            <w:r w:rsidR="000D0B81">
              <w:t>ments</w:t>
            </w:r>
            <w:r>
              <w:t xml:space="preserve"> </w:t>
            </w:r>
            <w:r w:rsidR="00E56B95">
              <w:t>(15)</w:t>
            </w:r>
          </w:p>
        </w:tc>
      </w:tr>
      <w:tr w:rsidR="000D7164" w:rsidRPr="00BE3444" w14:paraId="656923B1" w14:textId="77777777" w:rsidTr="00F10FAC">
        <w:trPr>
          <w:cnfStyle w:val="000000100000" w:firstRow="0" w:lastRow="0" w:firstColumn="0" w:lastColumn="0" w:oddVBand="0" w:evenVBand="0" w:oddHBand="1" w:evenHBand="0" w:firstRowFirstColumn="0" w:firstRowLastColumn="0" w:lastRowFirstColumn="0" w:lastRowLastColumn="0"/>
          <w:cantSplit/>
          <w:trHeight w:val="854"/>
        </w:trPr>
        <w:tc>
          <w:tcPr>
            <w:tcW w:w="3955" w:type="dxa"/>
          </w:tcPr>
          <w:p w14:paraId="5BE81352" w14:textId="090F1D25" w:rsidR="00C81804" w:rsidRPr="00FF7285" w:rsidRDefault="000D7164" w:rsidP="005F3FB9">
            <w:pPr>
              <w:rPr>
                <w:b/>
                <w:bCs/>
              </w:rPr>
            </w:pPr>
            <w:r w:rsidRPr="00FF7285">
              <w:rPr>
                <w:b/>
                <w:bCs/>
              </w:rPr>
              <w:t>Infrastructure to Support Continuous Improvement</w:t>
            </w:r>
          </w:p>
        </w:tc>
        <w:tc>
          <w:tcPr>
            <w:tcW w:w="1980" w:type="dxa"/>
            <w:vAlign w:val="center"/>
          </w:tcPr>
          <w:p w14:paraId="713A0EAC" w14:textId="596BFBF0" w:rsidR="00D85F45" w:rsidRPr="00BE3444" w:rsidRDefault="00D85F45" w:rsidP="00C81804">
            <w:pPr>
              <w:jc w:val="center"/>
            </w:pPr>
            <w:r>
              <w:t>/40</w:t>
            </w:r>
          </w:p>
        </w:tc>
        <w:tc>
          <w:tcPr>
            <w:tcW w:w="1980" w:type="dxa"/>
            <w:vAlign w:val="center"/>
          </w:tcPr>
          <w:p w14:paraId="5B51CD2D" w14:textId="1258E61D" w:rsidR="00D85F45" w:rsidRPr="00BE3444" w:rsidRDefault="00D85F45" w:rsidP="00D85F45">
            <w:pPr>
              <w:jc w:val="center"/>
            </w:pPr>
            <w:r>
              <w:t>/40</w:t>
            </w:r>
          </w:p>
        </w:tc>
        <w:tc>
          <w:tcPr>
            <w:tcW w:w="2155" w:type="dxa"/>
            <w:vAlign w:val="center"/>
          </w:tcPr>
          <w:p w14:paraId="6C391861" w14:textId="0F6E2C74" w:rsidR="00D85F45" w:rsidRPr="00BE3444" w:rsidRDefault="00D85F45" w:rsidP="00D85F45">
            <w:pPr>
              <w:jc w:val="center"/>
            </w:pPr>
            <w:r>
              <w:t>/25</w:t>
            </w:r>
          </w:p>
        </w:tc>
      </w:tr>
      <w:tr w:rsidR="000D7164" w:rsidRPr="00BE3444" w14:paraId="7E56737F" w14:textId="77777777" w:rsidTr="005F3FB9">
        <w:trPr>
          <w:cnfStyle w:val="000000010000" w:firstRow="0" w:lastRow="0" w:firstColumn="0" w:lastColumn="0" w:oddVBand="0" w:evenVBand="0" w:oddHBand="0" w:evenHBand="1" w:firstRowFirstColumn="0" w:firstRowLastColumn="0" w:lastRowFirstColumn="0" w:lastRowLastColumn="0"/>
          <w:cantSplit/>
        </w:trPr>
        <w:tc>
          <w:tcPr>
            <w:tcW w:w="3955" w:type="dxa"/>
          </w:tcPr>
          <w:p w14:paraId="0D8B3138" w14:textId="77777777" w:rsidR="000D7164" w:rsidRPr="00FF7285" w:rsidRDefault="000D7164" w:rsidP="005F3FB9">
            <w:pPr>
              <w:rPr>
                <w:b/>
                <w:bCs/>
              </w:rPr>
            </w:pPr>
            <w:r w:rsidRPr="00FF7285">
              <w:rPr>
                <w:b/>
                <w:bCs/>
              </w:rPr>
              <w:t>Family and Community Engagement</w:t>
            </w:r>
          </w:p>
        </w:tc>
        <w:tc>
          <w:tcPr>
            <w:tcW w:w="1980" w:type="dxa"/>
          </w:tcPr>
          <w:p w14:paraId="2FEBE4BF" w14:textId="27307681" w:rsidR="000D7164" w:rsidRPr="00BE3444" w:rsidRDefault="00D85F45" w:rsidP="00D85F45">
            <w:pPr>
              <w:jc w:val="center"/>
            </w:pPr>
            <w:r>
              <w:t>/15</w:t>
            </w:r>
          </w:p>
        </w:tc>
        <w:tc>
          <w:tcPr>
            <w:tcW w:w="1980" w:type="dxa"/>
          </w:tcPr>
          <w:p w14:paraId="07B33E18" w14:textId="3B0C3E0A" w:rsidR="000D7164" w:rsidRPr="00BE3444" w:rsidRDefault="00D85F45" w:rsidP="00D85F45">
            <w:pPr>
              <w:jc w:val="center"/>
            </w:pPr>
            <w:r>
              <w:t>/15</w:t>
            </w:r>
          </w:p>
        </w:tc>
        <w:tc>
          <w:tcPr>
            <w:tcW w:w="2155" w:type="dxa"/>
          </w:tcPr>
          <w:p w14:paraId="0261D5DF" w14:textId="6951EE0A" w:rsidR="000D7164" w:rsidRPr="00BE3444" w:rsidRDefault="00D85F45" w:rsidP="00D85F45">
            <w:pPr>
              <w:jc w:val="center"/>
            </w:pPr>
            <w:r>
              <w:t>/10</w:t>
            </w:r>
          </w:p>
        </w:tc>
      </w:tr>
      <w:tr w:rsidR="000D7164" w:rsidRPr="00BE3444" w14:paraId="74EC7525" w14:textId="77777777" w:rsidTr="005F3FB9">
        <w:trPr>
          <w:cnfStyle w:val="000000100000" w:firstRow="0" w:lastRow="0" w:firstColumn="0" w:lastColumn="0" w:oddVBand="0" w:evenVBand="0" w:oddHBand="1" w:evenHBand="0" w:firstRowFirstColumn="0" w:firstRowLastColumn="0" w:lastRowFirstColumn="0" w:lastRowLastColumn="0"/>
          <w:cantSplit/>
        </w:trPr>
        <w:tc>
          <w:tcPr>
            <w:tcW w:w="3955" w:type="dxa"/>
          </w:tcPr>
          <w:p w14:paraId="5599C4C7" w14:textId="77777777" w:rsidR="000D7164" w:rsidRPr="00FF7285" w:rsidRDefault="000D7164" w:rsidP="005F3FB9">
            <w:pPr>
              <w:rPr>
                <w:b/>
                <w:bCs/>
              </w:rPr>
            </w:pPr>
            <w:r w:rsidRPr="00FF7285">
              <w:rPr>
                <w:b/>
                <w:bCs/>
              </w:rPr>
              <w:t xml:space="preserve">Multilayered Practices and Supports </w:t>
            </w:r>
          </w:p>
        </w:tc>
        <w:tc>
          <w:tcPr>
            <w:tcW w:w="1980" w:type="dxa"/>
          </w:tcPr>
          <w:p w14:paraId="071ED798" w14:textId="68E1F1B3" w:rsidR="000D7164" w:rsidRPr="00BE3444" w:rsidRDefault="00D85F45" w:rsidP="00D85F45">
            <w:pPr>
              <w:jc w:val="center"/>
            </w:pPr>
            <w:r>
              <w:t>/30</w:t>
            </w:r>
          </w:p>
        </w:tc>
        <w:tc>
          <w:tcPr>
            <w:tcW w:w="1980" w:type="dxa"/>
          </w:tcPr>
          <w:p w14:paraId="454198C4" w14:textId="0B380635" w:rsidR="000D7164" w:rsidRPr="00BE3444" w:rsidRDefault="00D85F45" w:rsidP="00D85F45">
            <w:pPr>
              <w:jc w:val="center"/>
            </w:pPr>
            <w:r>
              <w:t>/25</w:t>
            </w:r>
          </w:p>
        </w:tc>
        <w:tc>
          <w:tcPr>
            <w:tcW w:w="2155" w:type="dxa"/>
          </w:tcPr>
          <w:p w14:paraId="008E7A0A" w14:textId="601917B9" w:rsidR="000D7164" w:rsidRPr="00BE3444" w:rsidRDefault="00D85F45" w:rsidP="00D85F45">
            <w:pPr>
              <w:jc w:val="center"/>
            </w:pPr>
            <w:r>
              <w:t>/10</w:t>
            </w:r>
          </w:p>
        </w:tc>
      </w:tr>
      <w:tr w:rsidR="000D7164" w:rsidRPr="00BE3444" w14:paraId="253AA449" w14:textId="77777777" w:rsidTr="005F3FB9">
        <w:trPr>
          <w:cnfStyle w:val="000000010000" w:firstRow="0" w:lastRow="0" w:firstColumn="0" w:lastColumn="0" w:oddVBand="0" w:evenVBand="0" w:oddHBand="0" w:evenHBand="1" w:firstRowFirstColumn="0" w:firstRowLastColumn="0" w:lastRowFirstColumn="0" w:lastRowLastColumn="0"/>
          <w:cantSplit/>
        </w:trPr>
        <w:tc>
          <w:tcPr>
            <w:tcW w:w="3955" w:type="dxa"/>
          </w:tcPr>
          <w:p w14:paraId="2E571065" w14:textId="77777777" w:rsidR="000D7164" w:rsidRPr="00FF7285" w:rsidRDefault="000D7164" w:rsidP="005F3FB9">
            <w:pPr>
              <w:rPr>
                <w:b/>
                <w:bCs/>
              </w:rPr>
            </w:pPr>
            <w:r w:rsidRPr="00FF7285">
              <w:rPr>
                <w:b/>
                <w:bCs/>
              </w:rPr>
              <w:t>Assessment</w:t>
            </w:r>
          </w:p>
        </w:tc>
        <w:tc>
          <w:tcPr>
            <w:tcW w:w="1980" w:type="dxa"/>
          </w:tcPr>
          <w:p w14:paraId="5D1CACC2" w14:textId="6BAD3A2E" w:rsidR="000D7164" w:rsidRPr="00BE3444" w:rsidRDefault="00D85F45" w:rsidP="00D85F45">
            <w:pPr>
              <w:jc w:val="center"/>
            </w:pPr>
            <w:r>
              <w:t>/4</w:t>
            </w:r>
            <w:r w:rsidR="004D703B">
              <w:t>5</w:t>
            </w:r>
          </w:p>
        </w:tc>
        <w:tc>
          <w:tcPr>
            <w:tcW w:w="1980" w:type="dxa"/>
          </w:tcPr>
          <w:p w14:paraId="301C85EA" w14:textId="3BCDE335" w:rsidR="000D7164" w:rsidRPr="00BE3444" w:rsidRDefault="00D85F45" w:rsidP="00D85F45">
            <w:pPr>
              <w:jc w:val="center"/>
            </w:pPr>
            <w:r>
              <w:t>/20</w:t>
            </w:r>
          </w:p>
        </w:tc>
        <w:tc>
          <w:tcPr>
            <w:tcW w:w="2155" w:type="dxa"/>
          </w:tcPr>
          <w:p w14:paraId="514A2A03" w14:textId="5AC4BB77" w:rsidR="000D7164" w:rsidRPr="00BE3444" w:rsidRDefault="00D85F45" w:rsidP="00D85F45">
            <w:pPr>
              <w:jc w:val="center"/>
            </w:pPr>
            <w:r>
              <w:t>/5</w:t>
            </w:r>
          </w:p>
        </w:tc>
      </w:tr>
      <w:tr w:rsidR="000D7164" w:rsidRPr="00BE3444" w14:paraId="03258BAE" w14:textId="77777777" w:rsidTr="005F3FB9">
        <w:trPr>
          <w:cnfStyle w:val="000000100000" w:firstRow="0" w:lastRow="0" w:firstColumn="0" w:lastColumn="0" w:oddVBand="0" w:evenVBand="0" w:oddHBand="1" w:evenHBand="0" w:firstRowFirstColumn="0" w:firstRowLastColumn="0" w:lastRowFirstColumn="0" w:lastRowLastColumn="0"/>
          <w:cantSplit/>
        </w:trPr>
        <w:tc>
          <w:tcPr>
            <w:tcW w:w="3955" w:type="dxa"/>
          </w:tcPr>
          <w:p w14:paraId="55BD4D46" w14:textId="77777777" w:rsidR="000D7164" w:rsidRPr="00FF7285" w:rsidRDefault="000D7164" w:rsidP="005F3FB9">
            <w:pPr>
              <w:rPr>
                <w:b/>
                <w:bCs/>
              </w:rPr>
            </w:pPr>
            <w:r w:rsidRPr="00FF7285">
              <w:rPr>
                <w:b/>
                <w:bCs/>
              </w:rPr>
              <w:t>Data-Based Decision Making</w:t>
            </w:r>
          </w:p>
        </w:tc>
        <w:tc>
          <w:tcPr>
            <w:tcW w:w="1980" w:type="dxa"/>
          </w:tcPr>
          <w:p w14:paraId="5A4A5E94" w14:textId="6CADF8C0" w:rsidR="000D7164" w:rsidRPr="00BE3444" w:rsidRDefault="00D85F45" w:rsidP="00D85F45">
            <w:pPr>
              <w:jc w:val="center"/>
            </w:pPr>
            <w:r>
              <w:t>/15</w:t>
            </w:r>
          </w:p>
        </w:tc>
        <w:tc>
          <w:tcPr>
            <w:tcW w:w="1980" w:type="dxa"/>
          </w:tcPr>
          <w:p w14:paraId="721B4009" w14:textId="5B917CF0" w:rsidR="000D7164" w:rsidRPr="00BE3444" w:rsidRDefault="00D85F45" w:rsidP="00D85F45">
            <w:pPr>
              <w:jc w:val="center"/>
            </w:pPr>
            <w:r>
              <w:t>/20</w:t>
            </w:r>
          </w:p>
        </w:tc>
        <w:tc>
          <w:tcPr>
            <w:tcW w:w="2155" w:type="dxa"/>
          </w:tcPr>
          <w:p w14:paraId="1A74852B" w14:textId="4BA1D767" w:rsidR="000D7164" w:rsidRPr="00BE3444" w:rsidRDefault="00D85F45" w:rsidP="00D85F45">
            <w:pPr>
              <w:jc w:val="center"/>
            </w:pPr>
            <w:r>
              <w:t>/20</w:t>
            </w:r>
          </w:p>
        </w:tc>
      </w:tr>
      <w:tr w:rsidR="000D0B81" w:rsidRPr="00BE3444" w14:paraId="1B179906" w14:textId="77777777" w:rsidTr="005F3FB9">
        <w:trPr>
          <w:cnfStyle w:val="000000010000" w:firstRow="0" w:lastRow="0" w:firstColumn="0" w:lastColumn="0" w:oddVBand="0" w:evenVBand="0" w:oddHBand="0" w:evenHBand="1" w:firstRowFirstColumn="0" w:firstRowLastColumn="0" w:lastRowFirstColumn="0" w:lastRowLastColumn="0"/>
          <w:cantSplit/>
        </w:trPr>
        <w:tc>
          <w:tcPr>
            <w:tcW w:w="3955" w:type="dxa"/>
          </w:tcPr>
          <w:p w14:paraId="517036EF" w14:textId="449848F6" w:rsidR="000D0B81" w:rsidRPr="00FF7285" w:rsidRDefault="000D0B81" w:rsidP="005F3FB9">
            <w:pPr>
              <w:rPr>
                <w:b/>
                <w:bCs/>
              </w:rPr>
            </w:pPr>
            <w:r>
              <w:rPr>
                <w:b/>
                <w:bCs/>
              </w:rPr>
              <w:t>Totals</w:t>
            </w:r>
          </w:p>
        </w:tc>
        <w:tc>
          <w:tcPr>
            <w:tcW w:w="1980" w:type="dxa"/>
          </w:tcPr>
          <w:p w14:paraId="58F86117" w14:textId="2B65CAF9" w:rsidR="000D0B81" w:rsidRPr="00A15184" w:rsidRDefault="000D0B81" w:rsidP="00D85F45">
            <w:pPr>
              <w:jc w:val="center"/>
              <w:rPr>
                <w:b/>
                <w:bCs/>
              </w:rPr>
            </w:pPr>
            <w:r w:rsidRPr="00A15184">
              <w:rPr>
                <w:b/>
                <w:bCs/>
              </w:rPr>
              <w:t>/145</w:t>
            </w:r>
          </w:p>
        </w:tc>
        <w:tc>
          <w:tcPr>
            <w:tcW w:w="1980" w:type="dxa"/>
          </w:tcPr>
          <w:p w14:paraId="4BB18945" w14:textId="7C495BCF" w:rsidR="000D0B81" w:rsidRPr="00A15184" w:rsidRDefault="000D0B81" w:rsidP="00D85F45">
            <w:pPr>
              <w:jc w:val="center"/>
              <w:rPr>
                <w:b/>
                <w:bCs/>
              </w:rPr>
            </w:pPr>
            <w:r w:rsidRPr="00A15184">
              <w:rPr>
                <w:b/>
                <w:bCs/>
              </w:rPr>
              <w:t>/</w:t>
            </w:r>
            <w:r w:rsidR="004D703B" w:rsidRPr="00A15184">
              <w:rPr>
                <w:b/>
                <w:bCs/>
              </w:rPr>
              <w:t>120</w:t>
            </w:r>
          </w:p>
        </w:tc>
        <w:tc>
          <w:tcPr>
            <w:tcW w:w="2155" w:type="dxa"/>
          </w:tcPr>
          <w:p w14:paraId="74EBF4B4" w14:textId="6DD19635" w:rsidR="000D0B81" w:rsidRPr="00A15184" w:rsidRDefault="004D703B" w:rsidP="00D85F45">
            <w:pPr>
              <w:jc w:val="center"/>
              <w:rPr>
                <w:b/>
                <w:bCs/>
              </w:rPr>
            </w:pPr>
            <w:r w:rsidRPr="00A15184">
              <w:rPr>
                <w:b/>
                <w:bCs/>
              </w:rPr>
              <w:t>/75</w:t>
            </w:r>
          </w:p>
        </w:tc>
      </w:tr>
    </w:tbl>
    <w:p w14:paraId="526C4982" w14:textId="77777777" w:rsidR="000D7164" w:rsidRPr="00A00A1C" w:rsidRDefault="000D7164" w:rsidP="000D7164">
      <w:pPr>
        <w:spacing w:before="0" w:after="0" w:line="240" w:lineRule="auto"/>
        <w:rPr>
          <w:rFonts w:ascii="Times New Roman" w:hAnsi="Times New Roman"/>
          <w:sz w:val="24"/>
          <w:szCs w:val="24"/>
          <w:lang w:bidi="ar-SA"/>
        </w:rPr>
      </w:pPr>
    </w:p>
    <w:p w14:paraId="5D94D7ED" w14:textId="083C3F32" w:rsidR="00D85F45" w:rsidRPr="00620826" w:rsidRDefault="00D85F45" w:rsidP="00D85F45">
      <w:pPr>
        <w:spacing w:before="0" w:after="0" w:line="240" w:lineRule="auto"/>
        <w:rPr>
          <w:rFonts w:cs="Calibri"/>
          <w:b/>
          <w:bCs/>
          <w:color w:val="003865" w:themeColor="accent1"/>
          <w:sz w:val="28"/>
          <w:szCs w:val="28"/>
          <w:lang w:bidi="ar-SA"/>
        </w:rPr>
      </w:pPr>
      <w:r w:rsidRPr="00A00A1C">
        <w:rPr>
          <w:rFonts w:cs="Calibri"/>
          <w:b/>
          <w:bCs/>
          <w:color w:val="003865" w:themeColor="accent1"/>
          <w:sz w:val="28"/>
          <w:szCs w:val="28"/>
          <w:lang w:bidi="ar-SA"/>
        </w:rPr>
        <w:t xml:space="preserve">Step </w:t>
      </w:r>
      <w:r w:rsidRPr="00620826">
        <w:rPr>
          <w:rFonts w:cs="Calibri"/>
          <w:b/>
          <w:bCs/>
          <w:color w:val="003865" w:themeColor="accent1"/>
          <w:sz w:val="28"/>
          <w:szCs w:val="28"/>
          <w:lang w:bidi="ar-SA"/>
        </w:rPr>
        <w:t>2</w:t>
      </w:r>
      <w:r w:rsidRPr="00A00A1C">
        <w:rPr>
          <w:rFonts w:cs="Calibri"/>
          <w:b/>
          <w:bCs/>
          <w:color w:val="003865" w:themeColor="accent1"/>
          <w:sz w:val="28"/>
          <w:szCs w:val="28"/>
          <w:lang w:bidi="ar-SA"/>
        </w:rPr>
        <w:t xml:space="preserve">: </w:t>
      </w:r>
      <w:r>
        <w:rPr>
          <w:rFonts w:cs="Calibri"/>
          <w:b/>
          <w:bCs/>
          <w:color w:val="003865" w:themeColor="accent1"/>
          <w:sz w:val="28"/>
          <w:szCs w:val="28"/>
          <w:lang w:bidi="ar-SA"/>
        </w:rPr>
        <w:t>Discuss Results</w:t>
      </w:r>
    </w:p>
    <w:p w14:paraId="322C86CD" w14:textId="77777777" w:rsidR="00D85F45" w:rsidRPr="00A53EEE" w:rsidRDefault="00D85F45" w:rsidP="00D85F45">
      <w:pPr>
        <w:spacing w:before="0" w:after="0" w:line="240" w:lineRule="auto"/>
        <w:rPr>
          <w:rFonts w:cs="Calibri"/>
          <w:b/>
          <w:bCs/>
          <w:color w:val="003865" w:themeColor="accent1"/>
          <w:sz w:val="26"/>
          <w:szCs w:val="26"/>
          <w:lang w:bidi="ar-SA"/>
        </w:rPr>
      </w:pPr>
    </w:p>
    <w:p w14:paraId="713C28EE" w14:textId="453DCA3C" w:rsidR="00D85F45" w:rsidRDefault="008B4E5A" w:rsidP="00D85F45">
      <w:pPr>
        <w:spacing w:before="0" w:after="0" w:line="240" w:lineRule="auto"/>
        <w:rPr>
          <w:rFonts w:cs="Calibri"/>
          <w:color w:val="000000"/>
          <w:lang w:bidi="ar-SA"/>
        </w:rPr>
      </w:pPr>
      <w:r>
        <w:rPr>
          <w:rFonts w:cs="Calibri"/>
          <w:color w:val="000000"/>
          <w:lang w:bidi="ar-SA"/>
        </w:rPr>
        <w:t>With a copy of the MnMTSS Framework and DLT_SEMI in hand, u</w:t>
      </w:r>
      <w:r w:rsidR="00D85F45" w:rsidRPr="00A00A1C">
        <w:rPr>
          <w:rFonts w:cs="Calibri"/>
          <w:color w:val="000000"/>
          <w:lang w:bidi="ar-SA"/>
        </w:rPr>
        <w:t xml:space="preserve">se a discussion protocol such as a </w:t>
      </w:r>
      <w:hyperlink r:id="rId14" w:history="1">
        <w:r w:rsidR="00D85F45" w:rsidRPr="00A00A1C">
          <w:rPr>
            <w:rFonts w:cs="Calibri"/>
            <w:color w:val="1155CC"/>
            <w:u w:val="single"/>
            <w:lang w:bidi="ar-SA"/>
          </w:rPr>
          <w:t>Focused Conversation</w:t>
        </w:r>
      </w:hyperlink>
      <w:r w:rsidR="00D85F45" w:rsidRPr="00A00A1C">
        <w:rPr>
          <w:rFonts w:cs="Calibri"/>
          <w:color w:val="000000"/>
          <w:lang w:bidi="ar-SA"/>
        </w:rPr>
        <w:t xml:space="preserve"> or </w:t>
      </w:r>
      <w:hyperlink r:id="rId15" w:history="1">
        <w:r w:rsidR="00D85F45" w:rsidRPr="00A00A1C">
          <w:rPr>
            <w:rFonts w:cs="Calibri"/>
            <w:color w:val="1155CC"/>
            <w:u w:val="single"/>
            <w:lang w:bidi="ar-SA"/>
          </w:rPr>
          <w:t>ORID</w:t>
        </w:r>
      </w:hyperlink>
      <w:r w:rsidR="00D85F45" w:rsidRPr="00A00A1C">
        <w:rPr>
          <w:rFonts w:cs="Calibri"/>
          <w:color w:val="000000"/>
          <w:lang w:bidi="ar-SA"/>
        </w:rPr>
        <w:t xml:space="preserve"> to synthesize and reflect on the data</w:t>
      </w:r>
      <w:r w:rsidR="00D03DFF">
        <w:rPr>
          <w:rFonts w:cs="Calibri"/>
          <w:color w:val="000000"/>
          <w:lang w:bidi="ar-SA"/>
        </w:rPr>
        <w:t xml:space="preserve"> and </w:t>
      </w:r>
      <w:r w:rsidR="00D85F45" w:rsidRPr="00A00A1C">
        <w:rPr>
          <w:rFonts w:cs="Calibri"/>
          <w:color w:val="000000"/>
          <w:lang w:bidi="ar-SA"/>
        </w:rPr>
        <w:t>information obtained. Consider the following questions</w:t>
      </w:r>
      <w:r w:rsidR="00D85F45">
        <w:rPr>
          <w:rFonts w:cs="Calibri"/>
          <w:color w:val="000000"/>
          <w:lang w:bidi="ar-SA"/>
        </w:rPr>
        <w:t xml:space="preserve"> and record in the space</w:t>
      </w:r>
      <w:r w:rsidR="005E32B6">
        <w:rPr>
          <w:rFonts w:cs="Calibri"/>
          <w:color w:val="000000"/>
          <w:lang w:bidi="ar-SA"/>
        </w:rPr>
        <w:t>s</w:t>
      </w:r>
      <w:r w:rsidR="00D85F45">
        <w:rPr>
          <w:rFonts w:cs="Calibri"/>
          <w:color w:val="000000"/>
          <w:lang w:bidi="ar-SA"/>
        </w:rPr>
        <w:t xml:space="preserve"> below.</w:t>
      </w:r>
      <w:r w:rsidR="00F10FAC">
        <w:rPr>
          <w:rFonts w:cs="Calibri"/>
          <w:color w:val="000000"/>
          <w:lang w:bidi="ar-SA"/>
        </w:rPr>
        <w:t xml:space="preserve"> The document will expand to fit your answers.</w:t>
      </w:r>
    </w:p>
    <w:p w14:paraId="425FB798" w14:textId="77777777" w:rsidR="00D85F45" w:rsidRPr="00A00A1C" w:rsidRDefault="00D85F45" w:rsidP="00D85F45">
      <w:pPr>
        <w:spacing w:before="0" w:after="0" w:line="240" w:lineRule="auto"/>
        <w:rPr>
          <w:rFonts w:ascii="Times New Roman" w:hAnsi="Times New Roman"/>
          <w:sz w:val="24"/>
          <w:szCs w:val="24"/>
          <w:lang w:bidi="ar-SA"/>
        </w:rPr>
      </w:pPr>
    </w:p>
    <w:p w14:paraId="5C733100" w14:textId="185195AB" w:rsidR="008B0BDB" w:rsidRPr="008B0BDB" w:rsidRDefault="00D85F45" w:rsidP="008B0BDB">
      <w:pPr>
        <w:numPr>
          <w:ilvl w:val="0"/>
          <w:numId w:val="36"/>
        </w:numPr>
        <w:spacing w:before="0" w:after="0" w:line="240" w:lineRule="auto"/>
        <w:textAlignment w:val="baseline"/>
        <w:rPr>
          <w:rFonts w:cs="Calibri"/>
          <w:color w:val="000000"/>
          <w:lang w:bidi="ar-SA"/>
        </w:rPr>
      </w:pPr>
      <w:r w:rsidRPr="008B0BDB">
        <w:rPr>
          <w:rFonts w:cs="Calibri"/>
          <w:color w:val="000000"/>
          <w:lang w:bidi="ar-SA"/>
        </w:rPr>
        <w:t>What do team member</w:t>
      </w:r>
      <w:r w:rsidR="008B4E5A" w:rsidRPr="008B0BDB">
        <w:rPr>
          <w:rFonts w:cs="Calibri"/>
          <w:color w:val="000000"/>
          <w:lang w:bidi="ar-SA"/>
        </w:rPr>
        <w:t xml:space="preserve">s </w:t>
      </w:r>
      <w:r w:rsidRPr="008B0BDB">
        <w:rPr>
          <w:rFonts w:cs="Calibri"/>
          <w:color w:val="000000"/>
          <w:lang w:bidi="ar-SA"/>
        </w:rPr>
        <w:t>notice about the data and information obtained? </w:t>
      </w:r>
      <w:r w:rsidR="00D3517D" w:rsidRPr="008B0BDB">
        <w:rPr>
          <w:rFonts w:cs="Calibri"/>
          <w:color w:val="000000"/>
          <w:lang w:bidi="ar-SA"/>
        </w:rPr>
        <w:t xml:space="preserve">Did the team have enough data to fully inform scoring? What </w:t>
      </w:r>
      <w:r w:rsidR="00703FE7" w:rsidRPr="008B0BDB">
        <w:rPr>
          <w:rFonts w:cs="Calibri"/>
          <w:color w:val="000000"/>
          <w:lang w:bidi="ar-SA"/>
        </w:rPr>
        <w:t>information</w:t>
      </w:r>
      <w:r w:rsidR="008B0BDB" w:rsidRPr="008B0BDB">
        <w:rPr>
          <w:rFonts w:cs="Calibri"/>
          <w:color w:val="000000"/>
          <w:lang w:bidi="ar-SA"/>
        </w:rPr>
        <w:t xml:space="preserve"> was missing?</w:t>
      </w:r>
    </w:p>
    <w:p w14:paraId="5F7D0DF3" w14:textId="41F9DF0B" w:rsidR="00D85F45" w:rsidRPr="00FF7285" w:rsidRDefault="00D85F45" w:rsidP="00FF7285">
      <w:pPr>
        <w:numPr>
          <w:ilvl w:val="0"/>
          <w:numId w:val="36"/>
        </w:numPr>
        <w:spacing w:before="0" w:after="0" w:line="240" w:lineRule="auto"/>
        <w:textAlignment w:val="baseline"/>
        <w:rPr>
          <w:rFonts w:cs="Calibri"/>
          <w:color w:val="000000"/>
          <w:lang w:bidi="ar-SA"/>
        </w:rPr>
      </w:pPr>
      <w:r w:rsidRPr="00FF7285">
        <w:rPr>
          <w:rFonts w:cs="Calibri"/>
          <w:color w:val="000000"/>
          <w:lang w:bidi="ar-SA"/>
        </w:rPr>
        <w:lastRenderedPageBreak/>
        <w:t xml:space="preserve">How do </w:t>
      </w:r>
      <w:r w:rsidR="00D03DFF">
        <w:rPr>
          <w:rFonts w:cs="Calibri"/>
          <w:color w:val="000000"/>
          <w:lang w:bidi="ar-SA"/>
        </w:rPr>
        <w:t>team members</w:t>
      </w:r>
      <w:r w:rsidRPr="00FF7285">
        <w:rPr>
          <w:rFonts w:cs="Calibri"/>
          <w:color w:val="000000"/>
          <w:lang w:bidi="ar-SA"/>
        </w:rPr>
        <w:t xml:space="preserve"> feel about the data</w:t>
      </w:r>
      <w:r w:rsidR="005E32B6">
        <w:rPr>
          <w:rFonts w:cs="Calibri"/>
          <w:color w:val="000000"/>
          <w:lang w:bidi="ar-SA"/>
        </w:rPr>
        <w:t xml:space="preserve"> or information obtained</w:t>
      </w:r>
      <w:r w:rsidRPr="00FF7285">
        <w:rPr>
          <w:rFonts w:cs="Calibri"/>
          <w:color w:val="000000"/>
          <w:lang w:bidi="ar-SA"/>
        </w:rPr>
        <w:t>?</w:t>
      </w:r>
      <w:r w:rsidR="00D3517D" w:rsidRPr="00FF7285">
        <w:rPr>
          <w:rFonts w:cs="Calibri"/>
          <w:color w:val="000000"/>
          <w:lang w:bidi="ar-SA"/>
        </w:rPr>
        <w:t xml:space="preserve"> </w:t>
      </w:r>
    </w:p>
    <w:p w14:paraId="7456D58F" w14:textId="424BC5C9" w:rsidR="00D85F45" w:rsidRDefault="00D85F45" w:rsidP="00D85F45">
      <w:pPr>
        <w:spacing w:before="0" w:after="0" w:line="240" w:lineRule="auto"/>
        <w:textAlignment w:val="baseline"/>
        <w:rPr>
          <w:rFonts w:cs="Calibri"/>
          <w:color w:val="000000"/>
          <w:lang w:bidi="ar-SA"/>
        </w:rPr>
      </w:pPr>
    </w:p>
    <w:p w14:paraId="6FEF8D27" w14:textId="1D900C2E" w:rsidR="00D85F45" w:rsidRDefault="00D85F45" w:rsidP="00D85F45">
      <w:pPr>
        <w:spacing w:before="0" w:after="0" w:line="240" w:lineRule="auto"/>
        <w:textAlignment w:val="baseline"/>
        <w:rPr>
          <w:rFonts w:cs="Calibri"/>
          <w:color w:val="000000"/>
          <w:lang w:bidi="ar-SA"/>
        </w:rPr>
      </w:pPr>
    </w:p>
    <w:p w14:paraId="5B8CFDA4" w14:textId="338B3102" w:rsidR="00D85F45" w:rsidRDefault="00D85F45" w:rsidP="00D85F45">
      <w:pPr>
        <w:numPr>
          <w:ilvl w:val="0"/>
          <w:numId w:val="36"/>
        </w:numPr>
        <w:spacing w:before="0" w:after="0" w:line="240" w:lineRule="auto"/>
        <w:textAlignment w:val="baseline"/>
        <w:rPr>
          <w:rFonts w:cs="Calibri"/>
          <w:color w:val="000000"/>
          <w:lang w:bidi="ar-SA"/>
        </w:rPr>
      </w:pPr>
      <w:r w:rsidRPr="00A00A1C">
        <w:rPr>
          <w:rFonts w:cs="Calibri"/>
          <w:color w:val="000000"/>
          <w:lang w:bidi="ar-SA"/>
        </w:rPr>
        <w:t xml:space="preserve">What do </w:t>
      </w:r>
      <w:r w:rsidR="005E32B6">
        <w:rPr>
          <w:rFonts w:cs="Calibri"/>
          <w:color w:val="000000"/>
          <w:lang w:bidi="ar-SA"/>
        </w:rPr>
        <w:t>the</w:t>
      </w:r>
      <w:r w:rsidR="001A13F6">
        <w:rPr>
          <w:rFonts w:cs="Calibri"/>
          <w:color w:val="000000"/>
          <w:lang w:bidi="ar-SA"/>
        </w:rPr>
        <w:t>se</w:t>
      </w:r>
      <w:r w:rsidR="005E32B6">
        <w:rPr>
          <w:rFonts w:cs="Calibri"/>
          <w:color w:val="000000"/>
          <w:lang w:bidi="ar-SA"/>
        </w:rPr>
        <w:t xml:space="preserve"> data or</w:t>
      </w:r>
      <w:r w:rsidR="001A13F6">
        <w:rPr>
          <w:rFonts w:cs="Calibri"/>
          <w:color w:val="000000"/>
          <w:lang w:bidi="ar-SA"/>
        </w:rPr>
        <w:t xml:space="preserve"> the</w:t>
      </w:r>
      <w:r w:rsidR="005E32B6">
        <w:rPr>
          <w:rFonts w:cs="Calibri"/>
          <w:color w:val="000000"/>
          <w:lang w:bidi="ar-SA"/>
        </w:rPr>
        <w:t xml:space="preserve"> information obtained</w:t>
      </w:r>
      <w:r w:rsidRPr="00A00A1C">
        <w:rPr>
          <w:rFonts w:cs="Calibri"/>
          <w:color w:val="000000"/>
          <w:lang w:bidi="ar-SA"/>
        </w:rPr>
        <w:t xml:space="preserve"> mean for our </w:t>
      </w:r>
      <w:r>
        <w:rPr>
          <w:rFonts w:cs="Calibri"/>
          <w:color w:val="000000"/>
          <w:lang w:bidi="ar-SA"/>
        </w:rPr>
        <w:t>district</w:t>
      </w:r>
      <w:r w:rsidRPr="00A00A1C">
        <w:rPr>
          <w:rFonts w:cs="Calibri"/>
          <w:color w:val="000000"/>
          <w:lang w:bidi="ar-SA"/>
        </w:rPr>
        <w:t>?</w:t>
      </w:r>
      <w:r w:rsidR="00703FE7">
        <w:rPr>
          <w:rFonts w:cs="Calibri"/>
          <w:color w:val="000000"/>
          <w:lang w:bidi="ar-SA"/>
        </w:rPr>
        <w:t xml:space="preserve"> What insights are beginning to emerge?</w:t>
      </w:r>
    </w:p>
    <w:p w14:paraId="2D0D3753" w14:textId="0B902DC2" w:rsidR="00D85F45" w:rsidRDefault="00D85F45" w:rsidP="00D85F45">
      <w:pPr>
        <w:spacing w:before="0" w:after="0" w:line="240" w:lineRule="auto"/>
        <w:textAlignment w:val="baseline"/>
        <w:rPr>
          <w:rFonts w:cs="Calibri"/>
          <w:color w:val="000000"/>
          <w:lang w:bidi="ar-SA"/>
        </w:rPr>
      </w:pPr>
    </w:p>
    <w:p w14:paraId="35381224" w14:textId="431CBE6D" w:rsidR="00D85F45" w:rsidRDefault="00D85F45" w:rsidP="00D85F45">
      <w:pPr>
        <w:spacing w:before="0" w:after="0" w:line="240" w:lineRule="auto"/>
        <w:textAlignment w:val="baseline"/>
        <w:rPr>
          <w:rFonts w:cs="Calibri"/>
          <w:color w:val="000000"/>
          <w:lang w:bidi="ar-SA"/>
        </w:rPr>
      </w:pPr>
    </w:p>
    <w:p w14:paraId="532F8CE5" w14:textId="0BAC7ADD" w:rsidR="00D3517D" w:rsidRPr="00F10FAC" w:rsidRDefault="00D85F45" w:rsidP="00D3517D">
      <w:pPr>
        <w:numPr>
          <w:ilvl w:val="0"/>
          <w:numId w:val="36"/>
        </w:numPr>
        <w:spacing w:before="0" w:after="0" w:line="240" w:lineRule="auto"/>
        <w:textAlignment w:val="baseline"/>
        <w:rPr>
          <w:rFonts w:cs="Calibri"/>
          <w:color w:val="000000"/>
          <w:lang w:bidi="ar-SA"/>
        </w:rPr>
      </w:pPr>
      <w:r>
        <w:rPr>
          <w:rFonts w:cs="Calibri"/>
          <w:color w:val="000000"/>
          <w:lang w:bidi="ar-SA"/>
        </w:rPr>
        <w:t>Given our unique local context and needs, what</w:t>
      </w:r>
      <w:r w:rsidRPr="00A00A1C">
        <w:rPr>
          <w:rFonts w:cs="Calibri"/>
          <w:color w:val="000000"/>
          <w:lang w:bidi="ar-SA"/>
        </w:rPr>
        <w:t xml:space="preserve"> do we need to do?</w:t>
      </w:r>
      <w:r>
        <w:rPr>
          <w:rFonts w:cs="Calibri"/>
          <w:color w:val="000000"/>
          <w:lang w:bidi="ar-SA"/>
        </w:rPr>
        <w:t xml:space="preserve"> </w:t>
      </w:r>
      <w:r w:rsidR="00703FE7">
        <w:rPr>
          <w:rFonts w:cs="Calibri"/>
          <w:color w:val="000000"/>
          <w:lang w:bidi="ar-SA"/>
        </w:rPr>
        <w:t>What are our next steps?</w:t>
      </w:r>
    </w:p>
    <w:p w14:paraId="7CC81F7C" w14:textId="77777777" w:rsidR="005E32B6" w:rsidRDefault="005E32B6" w:rsidP="00D3517D">
      <w:pPr>
        <w:spacing w:before="0" w:after="0" w:line="240" w:lineRule="auto"/>
        <w:textAlignment w:val="baseline"/>
        <w:rPr>
          <w:rFonts w:cs="Calibri"/>
          <w:color w:val="000000"/>
          <w:lang w:bidi="ar-SA"/>
        </w:rPr>
      </w:pPr>
    </w:p>
    <w:p w14:paraId="0C616652" w14:textId="77777777" w:rsidR="003816C4" w:rsidRPr="00A00A1C" w:rsidRDefault="003816C4" w:rsidP="00D85F45">
      <w:pPr>
        <w:spacing w:before="0" w:after="0" w:line="240" w:lineRule="auto"/>
        <w:rPr>
          <w:rFonts w:ascii="Times New Roman" w:hAnsi="Times New Roman"/>
          <w:sz w:val="24"/>
          <w:szCs w:val="24"/>
          <w:lang w:bidi="ar-SA"/>
        </w:rPr>
      </w:pPr>
    </w:p>
    <w:p w14:paraId="4BF4261F" w14:textId="77777777" w:rsidR="00D85F45" w:rsidRPr="00620826" w:rsidRDefault="00D85F45" w:rsidP="00D85F45">
      <w:pPr>
        <w:spacing w:before="0" w:after="0" w:line="240" w:lineRule="auto"/>
        <w:rPr>
          <w:rFonts w:cs="Calibri"/>
          <w:color w:val="003865" w:themeColor="accent1"/>
          <w:sz w:val="28"/>
          <w:szCs w:val="28"/>
          <w:lang w:bidi="ar-SA"/>
        </w:rPr>
      </w:pPr>
      <w:r w:rsidRPr="00A00A1C">
        <w:rPr>
          <w:rFonts w:cs="Calibri"/>
          <w:b/>
          <w:bCs/>
          <w:color w:val="003865" w:themeColor="accent1"/>
          <w:sz w:val="28"/>
          <w:szCs w:val="28"/>
          <w:lang w:bidi="ar-SA"/>
        </w:rPr>
        <w:t xml:space="preserve">Step </w:t>
      </w:r>
      <w:r w:rsidRPr="00620826">
        <w:rPr>
          <w:rFonts w:cs="Calibri"/>
          <w:b/>
          <w:bCs/>
          <w:color w:val="003865" w:themeColor="accent1"/>
          <w:sz w:val="28"/>
          <w:szCs w:val="28"/>
          <w:lang w:bidi="ar-SA"/>
        </w:rPr>
        <w:t>3</w:t>
      </w:r>
      <w:r w:rsidRPr="00A00A1C">
        <w:rPr>
          <w:rFonts w:cs="Calibri"/>
          <w:color w:val="003865" w:themeColor="accent1"/>
          <w:sz w:val="28"/>
          <w:szCs w:val="28"/>
          <w:lang w:bidi="ar-SA"/>
        </w:rPr>
        <w:t xml:space="preserve">: </w:t>
      </w:r>
      <w:r w:rsidRPr="00D85F45">
        <w:rPr>
          <w:rFonts w:cs="Calibri"/>
          <w:b/>
          <w:bCs/>
          <w:color w:val="003865" w:themeColor="accent1"/>
          <w:sz w:val="28"/>
          <w:szCs w:val="28"/>
          <w:lang w:bidi="ar-SA"/>
        </w:rPr>
        <w:t>Plan Next Steps</w:t>
      </w:r>
    </w:p>
    <w:p w14:paraId="70676141" w14:textId="77777777" w:rsidR="00D85F45" w:rsidRDefault="00D85F45" w:rsidP="00D85F45">
      <w:pPr>
        <w:spacing w:before="0" w:after="0" w:line="240" w:lineRule="auto"/>
        <w:rPr>
          <w:rFonts w:cs="Calibri"/>
          <w:color w:val="000000"/>
          <w:lang w:bidi="ar-SA"/>
        </w:rPr>
      </w:pPr>
    </w:p>
    <w:p w14:paraId="490AED54" w14:textId="132E2C40" w:rsidR="00D85F45" w:rsidRDefault="00D85F45" w:rsidP="00D85F45">
      <w:pPr>
        <w:spacing w:before="0" w:after="0" w:line="240" w:lineRule="auto"/>
        <w:rPr>
          <w:rFonts w:cs="Calibri"/>
          <w:color w:val="000000"/>
          <w:lang w:bidi="ar-SA"/>
        </w:rPr>
      </w:pPr>
      <w:r w:rsidRPr="00A00A1C">
        <w:rPr>
          <w:rFonts w:cs="Calibri"/>
          <w:color w:val="000000"/>
          <w:lang w:bidi="ar-SA"/>
        </w:rPr>
        <w:t>Prioritize the areas that are most critical to improve. Define the action, who is responsible, when it will be accomplished, and when updates on the action will be reviewed by the team.</w:t>
      </w:r>
      <w:r w:rsidR="00D3517D">
        <w:rPr>
          <w:rFonts w:cs="Calibri"/>
          <w:color w:val="000000"/>
          <w:lang w:bidi="ar-SA"/>
        </w:rPr>
        <w:t xml:space="preserve"> Include actions that may need to be taken to gather additional information or data.</w:t>
      </w:r>
      <w:r w:rsidR="0029766D">
        <w:rPr>
          <w:rFonts w:cs="Calibri"/>
          <w:color w:val="000000"/>
          <w:lang w:bidi="ar-SA"/>
        </w:rPr>
        <w:t xml:space="preserve"> </w:t>
      </w:r>
      <w:r w:rsidR="00F10FAC">
        <w:rPr>
          <w:rFonts w:cs="Calibri"/>
          <w:color w:val="000000"/>
          <w:lang w:bidi="ar-SA"/>
        </w:rPr>
        <w:t xml:space="preserve">The table will expand to fit your text. </w:t>
      </w:r>
      <w:r w:rsidR="0029766D">
        <w:rPr>
          <w:rFonts w:cs="Calibri"/>
          <w:color w:val="000000"/>
          <w:lang w:bidi="ar-SA"/>
        </w:rPr>
        <w:t xml:space="preserve">Resource: </w:t>
      </w:r>
      <w:hyperlink r:id="rId16" w:history="1">
        <w:r w:rsidR="0029766D" w:rsidRPr="0029766D">
          <w:rPr>
            <w:rStyle w:val="Hyperlink"/>
            <w:rFonts w:cs="Calibri"/>
            <w:lang w:bidi="ar-SA"/>
          </w:rPr>
          <w:t>Plan Do Study Act (PDSA) Improvement Cycles</w:t>
        </w:r>
      </w:hyperlink>
      <w:r w:rsidR="0029766D" w:rsidRPr="0029766D">
        <w:t xml:space="preserve"> </w:t>
      </w:r>
      <w:r w:rsidR="005F29C7">
        <w:rPr>
          <w:rFonts w:cs="Calibri"/>
          <w:color w:val="000000"/>
          <w:lang w:bidi="ar-SA"/>
        </w:rPr>
        <w:t>(NIRN)</w:t>
      </w:r>
      <w:r w:rsidR="00F10FAC">
        <w:rPr>
          <w:rFonts w:cs="Calibri"/>
          <w:color w:val="000000"/>
          <w:lang w:bidi="ar-SA"/>
        </w:rPr>
        <w:t>.</w:t>
      </w:r>
    </w:p>
    <w:p w14:paraId="1F4CDC05" w14:textId="77777777" w:rsidR="000D7164" w:rsidRPr="00A00A1C" w:rsidRDefault="000D7164" w:rsidP="000D7164">
      <w:pPr>
        <w:spacing w:before="0" w:after="0" w:line="240" w:lineRule="auto"/>
        <w:rPr>
          <w:rFonts w:ascii="Times New Roman" w:hAnsi="Times New Roman"/>
          <w:sz w:val="24"/>
          <w:szCs w:val="24"/>
          <w:lang w:bidi="ar-SA"/>
        </w:rPr>
      </w:pPr>
    </w:p>
    <w:tbl>
      <w:tblPr>
        <w:tblStyle w:val="TableGrid1"/>
        <w:tblW w:w="0" w:type="auto"/>
        <w:tblLook w:val="04A0" w:firstRow="1" w:lastRow="0" w:firstColumn="1" w:lastColumn="0" w:noHBand="0" w:noVBand="1"/>
      </w:tblPr>
      <w:tblGrid>
        <w:gridCol w:w="2159"/>
        <w:gridCol w:w="1886"/>
        <w:gridCol w:w="1980"/>
        <w:gridCol w:w="2070"/>
        <w:gridCol w:w="1975"/>
      </w:tblGrid>
      <w:tr w:rsidR="003816C4" w:rsidRPr="00BE3444" w14:paraId="4BD01843" w14:textId="77777777" w:rsidTr="00F10FAC">
        <w:trPr>
          <w:cnfStyle w:val="100000000000" w:firstRow="1" w:lastRow="0" w:firstColumn="0" w:lastColumn="0" w:oddVBand="0" w:evenVBand="0" w:oddHBand="0" w:evenHBand="0" w:firstRowFirstColumn="0" w:firstRowLastColumn="0" w:lastRowFirstColumn="0" w:lastRowLastColumn="0"/>
          <w:cantSplit/>
          <w:tblHeader/>
        </w:trPr>
        <w:tc>
          <w:tcPr>
            <w:tcW w:w="2159" w:type="dxa"/>
          </w:tcPr>
          <w:p w14:paraId="40023801" w14:textId="77777777" w:rsidR="003816C4" w:rsidRDefault="003816C4" w:rsidP="00D929D1">
            <w:r>
              <w:t>Core Component</w:t>
            </w:r>
          </w:p>
        </w:tc>
        <w:tc>
          <w:tcPr>
            <w:tcW w:w="1886" w:type="dxa"/>
          </w:tcPr>
          <w:p w14:paraId="302B5222" w14:textId="5DB02AC5" w:rsidR="003816C4" w:rsidRPr="00BE3444" w:rsidRDefault="003816C4" w:rsidP="00D929D1">
            <w:r>
              <w:t>Action</w:t>
            </w:r>
            <w:r w:rsidR="006468ED">
              <w:t>(s)</w:t>
            </w:r>
          </w:p>
        </w:tc>
        <w:tc>
          <w:tcPr>
            <w:tcW w:w="1980" w:type="dxa"/>
          </w:tcPr>
          <w:p w14:paraId="08FABF0B" w14:textId="77777777" w:rsidR="003816C4" w:rsidRPr="00BE3444" w:rsidRDefault="003816C4" w:rsidP="00D929D1">
            <w:r>
              <w:t>By Whom and When</w:t>
            </w:r>
          </w:p>
        </w:tc>
        <w:tc>
          <w:tcPr>
            <w:tcW w:w="2070" w:type="dxa"/>
          </w:tcPr>
          <w:p w14:paraId="167FB090" w14:textId="5F39AA36" w:rsidR="003816C4" w:rsidRPr="00BE3444" w:rsidRDefault="003816C4" w:rsidP="00D929D1">
            <w:r>
              <w:t>Expected Outcome</w:t>
            </w:r>
            <w:r w:rsidR="006468ED">
              <w:t>(s)</w:t>
            </w:r>
          </w:p>
        </w:tc>
        <w:tc>
          <w:tcPr>
            <w:tcW w:w="1975" w:type="dxa"/>
          </w:tcPr>
          <w:p w14:paraId="3BA53431" w14:textId="6EC94836" w:rsidR="003816C4" w:rsidRPr="00BE3444" w:rsidRDefault="006468ED" w:rsidP="006468ED">
            <w:r>
              <w:t xml:space="preserve">Date to Review Action Taken and Plan </w:t>
            </w:r>
            <w:r w:rsidR="003816C4">
              <w:t>Next Steps</w:t>
            </w:r>
          </w:p>
        </w:tc>
      </w:tr>
      <w:tr w:rsidR="003816C4" w:rsidRPr="00BE3444" w14:paraId="66C4AAAA" w14:textId="77777777" w:rsidTr="006468ED">
        <w:trPr>
          <w:cnfStyle w:val="000000100000" w:firstRow="0" w:lastRow="0" w:firstColumn="0" w:lastColumn="0" w:oddVBand="0" w:evenVBand="0" w:oddHBand="1" w:evenHBand="0" w:firstRowFirstColumn="0" w:firstRowLastColumn="0" w:lastRowFirstColumn="0" w:lastRowLastColumn="0"/>
          <w:cantSplit/>
        </w:trPr>
        <w:tc>
          <w:tcPr>
            <w:tcW w:w="2159" w:type="dxa"/>
          </w:tcPr>
          <w:p w14:paraId="093FA1BA" w14:textId="09EFD3E2" w:rsidR="003816C4" w:rsidRPr="006468ED" w:rsidRDefault="003816C4" w:rsidP="00D929D1">
            <w:pPr>
              <w:rPr>
                <w:b/>
                <w:bCs/>
              </w:rPr>
            </w:pPr>
            <w:r w:rsidRPr="006468ED">
              <w:rPr>
                <w:b/>
                <w:bCs/>
              </w:rPr>
              <w:t xml:space="preserve">Infrastructure </w:t>
            </w:r>
            <w:r w:rsidR="002C699A">
              <w:rPr>
                <w:b/>
                <w:bCs/>
              </w:rPr>
              <w:t>for</w:t>
            </w:r>
            <w:r w:rsidRPr="006468ED">
              <w:rPr>
                <w:b/>
                <w:bCs/>
              </w:rPr>
              <w:t xml:space="preserve"> Continuous Improvement</w:t>
            </w:r>
          </w:p>
        </w:tc>
        <w:tc>
          <w:tcPr>
            <w:tcW w:w="1886" w:type="dxa"/>
          </w:tcPr>
          <w:p w14:paraId="692C18CF" w14:textId="77777777" w:rsidR="003816C4" w:rsidRPr="00BE3444" w:rsidRDefault="003816C4" w:rsidP="00D929D1"/>
        </w:tc>
        <w:tc>
          <w:tcPr>
            <w:tcW w:w="1980" w:type="dxa"/>
          </w:tcPr>
          <w:p w14:paraId="5BC0BEE6" w14:textId="77777777" w:rsidR="003816C4" w:rsidRPr="00BE3444" w:rsidRDefault="003816C4" w:rsidP="00D929D1"/>
        </w:tc>
        <w:tc>
          <w:tcPr>
            <w:tcW w:w="2070" w:type="dxa"/>
          </w:tcPr>
          <w:p w14:paraId="0C686782" w14:textId="77777777" w:rsidR="003816C4" w:rsidRPr="00BE3444" w:rsidRDefault="003816C4" w:rsidP="00D929D1"/>
        </w:tc>
        <w:tc>
          <w:tcPr>
            <w:tcW w:w="1975" w:type="dxa"/>
          </w:tcPr>
          <w:p w14:paraId="1C579390" w14:textId="77777777" w:rsidR="003816C4" w:rsidRPr="00BE3444" w:rsidRDefault="003816C4" w:rsidP="00D929D1"/>
        </w:tc>
      </w:tr>
      <w:tr w:rsidR="003816C4" w:rsidRPr="00BE3444" w14:paraId="5888F18D" w14:textId="77777777" w:rsidTr="006468ED">
        <w:trPr>
          <w:cnfStyle w:val="000000010000" w:firstRow="0" w:lastRow="0" w:firstColumn="0" w:lastColumn="0" w:oddVBand="0" w:evenVBand="0" w:oddHBand="0" w:evenHBand="1" w:firstRowFirstColumn="0" w:firstRowLastColumn="0" w:lastRowFirstColumn="0" w:lastRowLastColumn="0"/>
          <w:cantSplit/>
        </w:trPr>
        <w:tc>
          <w:tcPr>
            <w:tcW w:w="2159" w:type="dxa"/>
          </w:tcPr>
          <w:p w14:paraId="21D4342B" w14:textId="77777777" w:rsidR="003816C4" w:rsidRPr="006468ED" w:rsidRDefault="003816C4" w:rsidP="00D929D1">
            <w:pPr>
              <w:rPr>
                <w:b/>
                <w:bCs/>
              </w:rPr>
            </w:pPr>
            <w:r w:rsidRPr="006468ED">
              <w:rPr>
                <w:b/>
                <w:bCs/>
              </w:rPr>
              <w:t>Family and Community Engagement</w:t>
            </w:r>
          </w:p>
        </w:tc>
        <w:tc>
          <w:tcPr>
            <w:tcW w:w="1886" w:type="dxa"/>
          </w:tcPr>
          <w:p w14:paraId="64E22B7D" w14:textId="77777777" w:rsidR="003816C4" w:rsidRPr="00BE3444" w:rsidRDefault="003816C4" w:rsidP="00D929D1"/>
        </w:tc>
        <w:tc>
          <w:tcPr>
            <w:tcW w:w="1980" w:type="dxa"/>
          </w:tcPr>
          <w:p w14:paraId="53AB3A64" w14:textId="77777777" w:rsidR="003816C4" w:rsidRPr="00BE3444" w:rsidRDefault="003816C4" w:rsidP="00D929D1"/>
        </w:tc>
        <w:tc>
          <w:tcPr>
            <w:tcW w:w="2070" w:type="dxa"/>
          </w:tcPr>
          <w:p w14:paraId="6AEC0251" w14:textId="77777777" w:rsidR="003816C4" w:rsidRPr="00BE3444" w:rsidRDefault="003816C4" w:rsidP="00D929D1"/>
        </w:tc>
        <w:tc>
          <w:tcPr>
            <w:tcW w:w="1975" w:type="dxa"/>
          </w:tcPr>
          <w:p w14:paraId="7B21BE28" w14:textId="77777777" w:rsidR="003816C4" w:rsidRPr="00BE3444" w:rsidRDefault="003816C4" w:rsidP="00D929D1"/>
        </w:tc>
      </w:tr>
      <w:tr w:rsidR="003816C4" w:rsidRPr="00BE3444" w14:paraId="0CA8A3BD" w14:textId="77777777" w:rsidTr="006468ED">
        <w:trPr>
          <w:cnfStyle w:val="000000100000" w:firstRow="0" w:lastRow="0" w:firstColumn="0" w:lastColumn="0" w:oddVBand="0" w:evenVBand="0" w:oddHBand="1" w:evenHBand="0" w:firstRowFirstColumn="0" w:firstRowLastColumn="0" w:lastRowFirstColumn="0" w:lastRowLastColumn="0"/>
          <w:cantSplit/>
        </w:trPr>
        <w:tc>
          <w:tcPr>
            <w:tcW w:w="2159" w:type="dxa"/>
          </w:tcPr>
          <w:p w14:paraId="18A79327" w14:textId="77777777" w:rsidR="003816C4" w:rsidRPr="006468ED" w:rsidRDefault="003816C4" w:rsidP="00D929D1">
            <w:pPr>
              <w:rPr>
                <w:b/>
                <w:bCs/>
              </w:rPr>
            </w:pPr>
            <w:r w:rsidRPr="006468ED">
              <w:rPr>
                <w:b/>
                <w:bCs/>
              </w:rPr>
              <w:t>Multilayered Practices and Supports</w:t>
            </w:r>
          </w:p>
        </w:tc>
        <w:tc>
          <w:tcPr>
            <w:tcW w:w="1886" w:type="dxa"/>
          </w:tcPr>
          <w:p w14:paraId="6FC50C57" w14:textId="77777777" w:rsidR="003816C4" w:rsidRPr="00BE3444" w:rsidRDefault="003816C4" w:rsidP="00D929D1"/>
        </w:tc>
        <w:tc>
          <w:tcPr>
            <w:tcW w:w="1980" w:type="dxa"/>
          </w:tcPr>
          <w:p w14:paraId="75776940" w14:textId="77777777" w:rsidR="003816C4" w:rsidRPr="00BE3444" w:rsidRDefault="003816C4" w:rsidP="00D929D1"/>
        </w:tc>
        <w:tc>
          <w:tcPr>
            <w:tcW w:w="2070" w:type="dxa"/>
          </w:tcPr>
          <w:p w14:paraId="010DC200" w14:textId="77777777" w:rsidR="003816C4" w:rsidRPr="00BE3444" w:rsidRDefault="003816C4" w:rsidP="00D929D1"/>
        </w:tc>
        <w:tc>
          <w:tcPr>
            <w:tcW w:w="1975" w:type="dxa"/>
          </w:tcPr>
          <w:p w14:paraId="07D83652" w14:textId="77777777" w:rsidR="003816C4" w:rsidRPr="00BE3444" w:rsidRDefault="003816C4" w:rsidP="00D929D1"/>
        </w:tc>
      </w:tr>
      <w:tr w:rsidR="003816C4" w:rsidRPr="00BE3444" w14:paraId="3C993961" w14:textId="77777777" w:rsidTr="006468ED">
        <w:trPr>
          <w:cnfStyle w:val="000000010000" w:firstRow="0" w:lastRow="0" w:firstColumn="0" w:lastColumn="0" w:oddVBand="0" w:evenVBand="0" w:oddHBand="0" w:evenHBand="1" w:firstRowFirstColumn="0" w:firstRowLastColumn="0" w:lastRowFirstColumn="0" w:lastRowLastColumn="0"/>
          <w:cantSplit/>
        </w:trPr>
        <w:tc>
          <w:tcPr>
            <w:tcW w:w="2159" w:type="dxa"/>
          </w:tcPr>
          <w:p w14:paraId="3C9E2E43" w14:textId="77777777" w:rsidR="003816C4" w:rsidRPr="006468ED" w:rsidRDefault="003816C4" w:rsidP="00D929D1">
            <w:pPr>
              <w:rPr>
                <w:b/>
                <w:bCs/>
              </w:rPr>
            </w:pPr>
            <w:r w:rsidRPr="006468ED">
              <w:rPr>
                <w:b/>
                <w:bCs/>
              </w:rPr>
              <w:t>Assessment</w:t>
            </w:r>
          </w:p>
        </w:tc>
        <w:tc>
          <w:tcPr>
            <w:tcW w:w="1886" w:type="dxa"/>
          </w:tcPr>
          <w:p w14:paraId="1B61A30F" w14:textId="77777777" w:rsidR="003816C4" w:rsidRPr="00BE3444" w:rsidRDefault="003816C4" w:rsidP="00D929D1"/>
        </w:tc>
        <w:tc>
          <w:tcPr>
            <w:tcW w:w="1980" w:type="dxa"/>
          </w:tcPr>
          <w:p w14:paraId="0BB94906" w14:textId="77777777" w:rsidR="003816C4" w:rsidRPr="00BE3444" w:rsidRDefault="003816C4" w:rsidP="00D929D1"/>
        </w:tc>
        <w:tc>
          <w:tcPr>
            <w:tcW w:w="2070" w:type="dxa"/>
          </w:tcPr>
          <w:p w14:paraId="5E332519" w14:textId="77777777" w:rsidR="003816C4" w:rsidRPr="00BE3444" w:rsidRDefault="003816C4" w:rsidP="00D929D1"/>
        </w:tc>
        <w:tc>
          <w:tcPr>
            <w:tcW w:w="1975" w:type="dxa"/>
          </w:tcPr>
          <w:p w14:paraId="6B231994" w14:textId="77777777" w:rsidR="003816C4" w:rsidRPr="00BE3444" w:rsidRDefault="003816C4" w:rsidP="00D929D1"/>
        </w:tc>
      </w:tr>
      <w:tr w:rsidR="003816C4" w:rsidRPr="00BE3444" w14:paraId="4612419A" w14:textId="77777777" w:rsidTr="006468ED">
        <w:trPr>
          <w:cnfStyle w:val="000000100000" w:firstRow="0" w:lastRow="0" w:firstColumn="0" w:lastColumn="0" w:oddVBand="0" w:evenVBand="0" w:oddHBand="1" w:evenHBand="0" w:firstRowFirstColumn="0" w:firstRowLastColumn="0" w:lastRowFirstColumn="0" w:lastRowLastColumn="0"/>
          <w:cantSplit/>
        </w:trPr>
        <w:tc>
          <w:tcPr>
            <w:tcW w:w="2159" w:type="dxa"/>
          </w:tcPr>
          <w:p w14:paraId="5D3B0665" w14:textId="77777777" w:rsidR="003816C4" w:rsidRPr="006468ED" w:rsidRDefault="003816C4" w:rsidP="00D929D1">
            <w:pPr>
              <w:rPr>
                <w:b/>
                <w:bCs/>
              </w:rPr>
            </w:pPr>
            <w:r w:rsidRPr="006468ED">
              <w:rPr>
                <w:b/>
                <w:bCs/>
              </w:rPr>
              <w:t>Data-Based Decision Making</w:t>
            </w:r>
          </w:p>
        </w:tc>
        <w:tc>
          <w:tcPr>
            <w:tcW w:w="1886" w:type="dxa"/>
          </w:tcPr>
          <w:p w14:paraId="3C712775" w14:textId="77777777" w:rsidR="003816C4" w:rsidRPr="00BE3444" w:rsidRDefault="003816C4" w:rsidP="00D929D1"/>
        </w:tc>
        <w:tc>
          <w:tcPr>
            <w:tcW w:w="1980" w:type="dxa"/>
          </w:tcPr>
          <w:p w14:paraId="5C039A61" w14:textId="77777777" w:rsidR="003816C4" w:rsidRPr="00BE3444" w:rsidRDefault="003816C4" w:rsidP="00D929D1"/>
        </w:tc>
        <w:tc>
          <w:tcPr>
            <w:tcW w:w="2070" w:type="dxa"/>
          </w:tcPr>
          <w:p w14:paraId="11466424" w14:textId="77777777" w:rsidR="003816C4" w:rsidRPr="00BE3444" w:rsidRDefault="003816C4" w:rsidP="00D929D1"/>
        </w:tc>
        <w:tc>
          <w:tcPr>
            <w:tcW w:w="1975" w:type="dxa"/>
          </w:tcPr>
          <w:p w14:paraId="547C77F1" w14:textId="77777777" w:rsidR="003816C4" w:rsidRPr="00BE3444" w:rsidRDefault="003816C4" w:rsidP="00D929D1"/>
        </w:tc>
      </w:tr>
    </w:tbl>
    <w:p w14:paraId="62A1637D" w14:textId="53EC0FEC" w:rsidR="000D7164" w:rsidRPr="00A00A1C" w:rsidRDefault="000D7164" w:rsidP="000D7164">
      <w:pPr>
        <w:spacing w:before="0" w:after="0" w:line="240" w:lineRule="auto"/>
        <w:rPr>
          <w:rFonts w:ascii="Times New Roman" w:hAnsi="Times New Roman"/>
          <w:sz w:val="24"/>
          <w:szCs w:val="24"/>
          <w:lang w:bidi="ar-SA"/>
        </w:rPr>
      </w:pPr>
    </w:p>
    <w:p w14:paraId="39F5DCED" w14:textId="77777777" w:rsidR="00F10FAC" w:rsidRDefault="00F10FAC">
      <w:pPr>
        <w:spacing w:before="120" w:after="0"/>
        <w:rPr>
          <w:rFonts w:cs="Calibri"/>
          <w:b/>
          <w:bCs/>
          <w:color w:val="003865" w:themeColor="accent1"/>
          <w:sz w:val="24"/>
          <w:szCs w:val="24"/>
          <w:lang w:bidi="ar-SA"/>
        </w:rPr>
      </w:pPr>
      <w:r>
        <w:rPr>
          <w:rFonts w:cs="Calibri"/>
          <w:b/>
          <w:bCs/>
          <w:color w:val="003865" w:themeColor="accent1"/>
          <w:sz w:val="24"/>
          <w:szCs w:val="24"/>
          <w:lang w:bidi="ar-SA"/>
        </w:rPr>
        <w:br w:type="page"/>
      </w:r>
    </w:p>
    <w:p w14:paraId="387A56FE" w14:textId="3DC49787" w:rsidR="003816C4" w:rsidRPr="00620826" w:rsidRDefault="003816C4" w:rsidP="003816C4">
      <w:pPr>
        <w:spacing w:before="0" w:after="0" w:line="240" w:lineRule="auto"/>
        <w:rPr>
          <w:rFonts w:cs="Calibri"/>
          <w:b/>
          <w:bCs/>
          <w:color w:val="003865" w:themeColor="accent1"/>
          <w:sz w:val="28"/>
          <w:szCs w:val="28"/>
          <w:lang w:bidi="ar-SA"/>
        </w:rPr>
      </w:pPr>
      <w:r w:rsidRPr="00A00A1C">
        <w:rPr>
          <w:rFonts w:cs="Calibri"/>
          <w:b/>
          <w:bCs/>
          <w:color w:val="003865" w:themeColor="accent1"/>
          <w:sz w:val="28"/>
          <w:szCs w:val="28"/>
          <w:lang w:bidi="ar-SA"/>
        </w:rPr>
        <w:lastRenderedPageBreak/>
        <w:t xml:space="preserve">Step </w:t>
      </w:r>
      <w:r w:rsidRPr="00620826">
        <w:rPr>
          <w:rFonts w:cs="Calibri"/>
          <w:b/>
          <w:bCs/>
          <w:color w:val="003865" w:themeColor="accent1"/>
          <w:sz w:val="28"/>
          <w:szCs w:val="28"/>
          <w:lang w:bidi="ar-SA"/>
        </w:rPr>
        <w:t>4</w:t>
      </w:r>
      <w:r w:rsidRPr="00A00A1C">
        <w:rPr>
          <w:rFonts w:cs="Calibri"/>
          <w:b/>
          <w:bCs/>
          <w:color w:val="003865" w:themeColor="accent1"/>
          <w:sz w:val="28"/>
          <w:szCs w:val="28"/>
          <w:lang w:bidi="ar-SA"/>
        </w:rPr>
        <w:t xml:space="preserve">: </w:t>
      </w:r>
      <w:r w:rsidR="00A1510A">
        <w:rPr>
          <w:rFonts w:cs="Calibri"/>
          <w:b/>
          <w:bCs/>
          <w:color w:val="003865" w:themeColor="accent1"/>
          <w:sz w:val="28"/>
          <w:szCs w:val="28"/>
          <w:lang w:bidi="ar-SA"/>
        </w:rPr>
        <w:t xml:space="preserve">Engage in </w:t>
      </w:r>
      <w:r w:rsidR="006468ED">
        <w:rPr>
          <w:rFonts w:cs="Calibri"/>
          <w:b/>
          <w:bCs/>
          <w:color w:val="003865" w:themeColor="accent1"/>
          <w:sz w:val="28"/>
          <w:szCs w:val="28"/>
          <w:lang w:bidi="ar-SA"/>
        </w:rPr>
        <w:t>Continuous Improvement</w:t>
      </w:r>
    </w:p>
    <w:p w14:paraId="4868189A" w14:textId="77777777" w:rsidR="003816C4" w:rsidRDefault="003816C4" w:rsidP="003816C4">
      <w:pPr>
        <w:spacing w:before="0" w:after="0" w:line="240" w:lineRule="auto"/>
        <w:rPr>
          <w:rFonts w:cs="Calibri"/>
          <w:b/>
          <w:bCs/>
          <w:color w:val="000000"/>
          <w:lang w:bidi="ar-SA"/>
        </w:rPr>
      </w:pPr>
    </w:p>
    <w:p w14:paraId="35BA8C1C" w14:textId="1E222BAC" w:rsidR="006468ED" w:rsidRDefault="003816C4" w:rsidP="006468ED">
      <w:pPr>
        <w:pStyle w:val="ListParagraph"/>
        <w:numPr>
          <w:ilvl w:val="0"/>
          <w:numId w:val="37"/>
        </w:numPr>
        <w:spacing w:before="0" w:after="0" w:line="240" w:lineRule="auto"/>
        <w:rPr>
          <w:rFonts w:cs="Calibri"/>
          <w:color w:val="000000"/>
          <w:lang w:bidi="ar-SA"/>
        </w:rPr>
      </w:pPr>
      <w:r w:rsidRPr="006468ED">
        <w:rPr>
          <w:rFonts w:cs="Calibri"/>
          <w:color w:val="000000"/>
          <w:lang w:bidi="ar-SA"/>
        </w:rPr>
        <w:t xml:space="preserve">Link this Action Planning Guide into the MnMTSS </w:t>
      </w:r>
      <w:r w:rsidR="006468ED" w:rsidRPr="006468ED">
        <w:rPr>
          <w:rFonts w:cs="Calibri"/>
          <w:color w:val="000000"/>
          <w:lang w:bidi="ar-SA"/>
        </w:rPr>
        <w:t>D</w:t>
      </w:r>
      <w:r w:rsidRPr="006468ED">
        <w:rPr>
          <w:rFonts w:cs="Calibri"/>
          <w:color w:val="000000"/>
          <w:lang w:bidi="ar-SA"/>
        </w:rPr>
        <w:t xml:space="preserve">istrict </w:t>
      </w:r>
      <w:r w:rsidR="006468ED" w:rsidRPr="006468ED">
        <w:rPr>
          <w:rFonts w:cs="Calibri"/>
          <w:color w:val="000000"/>
          <w:lang w:bidi="ar-SA"/>
        </w:rPr>
        <w:t>L</w:t>
      </w:r>
      <w:r w:rsidRPr="006468ED">
        <w:rPr>
          <w:rFonts w:cs="Calibri"/>
          <w:color w:val="000000"/>
          <w:lang w:bidi="ar-SA"/>
        </w:rPr>
        <w:t xml:space="preserve">eadership </w:t>
      </w:r>
      <w:r w:rsidR="006468ED" w:rsidRPr="006468ED">
        <w:rPr>
          <w:rFonts w:cs="Calibri"/>
          <w:color w:val="000000"/>
          <w:lang w:bidi="ar-SA"/>
        </w:rPr>
        <w:t>T</w:t>
      </w:r>
      <w:r w:rsidRPr="006468ED">
        <w:rPr>
          <w:rFonts w:cs="Calibri"/>
          <w:color w:val="000000"/>
          <w:lang w:bidi="ar-SA"/>
        </w:rPr>
        <w:t xml:space="preserve">eam agenda and notes. </w:t>
      </w:r>
    </w:p>
    <w:p w14:paraId="690AFB2F" w14:textId="368B0BF8" w:rsidR="006468ED" w:rsidRDefault="006468ED" w:rsidP="003816C4">
      <w:pPr>
        <w:pStyle w:val="ListParagraph"/>
        <w:numPr>
          <w:ilvl w:val="0"/>
          <w:numId w:val="37"/>
        </w:numPr>
        <w:spacing w:before="0" w:after="0" w:line="240" w:lineRule="auto"/>
        <w:rPr>
          <w:rFonts w:cs="Calibri"/>
          <w:color w:val="000000"/>
          <w:lang w:bidi="ar-SA"/>
        </w:rPr>
      </w:pPr>
      <w:r>
        <w:rPr>
          <w:rFonts w:cs="Calibri"/>
          <w:color w:val="000000"/>
          <w:lang w:bidi="ar-SA"/>
        </w:rPr>
        <w:t xml:space="preserve">Review </w:t>
      </w:r>
      <w:r w:rsidRPr="006468ED">
        <w:rPr>
          <w:rFonts w:cs="Calibri"/>
          <w:color w:val="000000"/>
          <w:lang w:bidi="ar-SA"/>
        </w:rPr>
        <w:t xml:space="preserve">each action taken and use data to determine whether the expected outcome was attained. </w:t>
      </w:r>
    </w:p>
    <w:p w14:paraId="04687632" w14:textId="671540CF" w:rsidR="008B4E5A" w:rsidRPr="008B4E5A" w:rsidRDefault="008B4E5A" w:rsidP="008B4E5A">
      <w:pPr>
        <w:pStyle w:val="ListParagraph"/>
        <w:numPr>
          <w:ilvl w:val="0"/>
          <w:numId w:val="37"/>
        </w:numPr>
        <w:spacing w:before="0" w:after="0" w:line="240" w:lineRule="auto"/>
        <w:rPr>
          <w:rFonts w:cs="Calibri"/>
          <w:color w:val="000000"/>
          <w:lang w:bidi="ar-SA"/>
        </w:rPr>
      </w:pPr>
      <w:r>
        <w:rPr>
          <w:rFonts w:cs="Calibri"/>
          <w:color w:val="000000"/>
          <w:lang w:bidi="ar-SA"/>
        </w:rPr>
        <w:t xml:space="preserve">Based on the data, plan </w:t>
      </w:r>
      <w:r w:rsidR="00C81804">
        <w:rPr>
          <w:rFonts w:cs="Calibri"/>
          <w:color w:val="000000"/>
          <w:lang w:bidi="ar-SA"/>
        </w:rPr>
        <w:t xml:space="preserve">the </w:t>
      </w:r>
      <w:r>
        <w:rPr>
          <w:rFonts w:cs="Calibri"/>
          <w:color w:val="000000"/>
          <w:lang w:bidi="ar-SA"/>
        </w:rPr>
        <w:t>next steps.</w:t>
      </w:r>
    </w:p>
    <w:p w14:paraId="6B1E7EF6" w14:textId="77777777" w:rsidR="008B4E5A" w:rsidRDefault="006468ED" w:rsidP="003816C4">
      <w:pPr>
        <w:pStyle w:val="ListParagraph"/>
        <w:numPr>
          <w:ilvl w:val="0"/>
          <w:numId w:val="37"/>
        </w:numPr>
        <w:spacing w:before="0" w:after="0" w:line="240" w:lineRule="auto"/>
        <w:rPr>
          <w:rFonts w:cs="Calibri"/>
          <w:color w:val="000000"/>
          <w:lang w:bidi="ar-SA"/>
        </w:rPr>
      </w:pPr>
      <w:r w:rsidRPr="006468ED">
        <w:rPr>
          <w:rFonts w:cs="Calibri"/>
          <w:color w:val="000000"/>
          <w:lang w:bidi="ar-SA"/>
        </w:rPr>
        <w:t xml:space="preserve">This plan </w:t>
      </w:r>
      <w:r w:rsidR="003816C4" w:rsidRPr="006468ED">
        <w:rPr>
          <w:rFonts w:cs="Calibri"/>
          <w:color w:val="000000"/>
          <w:lang w:bidi="ar-SA"/>
        </w:rPr>
        <w:t>should be reviewed and acted upon at every meeting.</w:t>
      </w:r>
      <w:r w:rsidRPr="006468ED">
        <w:rPr>
          <w:rFonts w:cs="Calibri"/>
          <w:color w:val="000000"/>
          <w:lang w:bidi="ar-SA"/>
        </w:rPr>
        <w:t xml:space="preserve"> </w:t>
      </w:r>
    </w:p>
    <w:p w14:paraId="68ECD546" w14:textId="0C817588" w:rsidR="003816C4" w:rsidRPr="008B4E5A" w:rsidRDefault="00C81804" w:rsidP="003816C4">
      <w:pPr>
        <w:pStyle w:val="ListParagraph"/>
        <w:numPr>
          <w:ilvl w:val="0"/>
          <w:numId w:val="37"/>
        </w:numPr>
        <w:spacing w:before="0" w:after="0" w:line="240" w:lineRule="auto"/>
        <w:rPr>
          <w:rFonts w:cs="Calibri"/>
          <w:color w:val="000000"/>
          <w:lang w:bidi="ar-SA"/>
        </w:rPr>
      </w:pPr>
      <w:r>
        <w:rPr>
          <w:rFonts w:cs="Calibri"/>
          <w:color w:val="000000"/>
          <w:lang w:bidi="ar-SA"/>
        </w:rPr>
        <w:t xml:space="preserve">Set a date </w:t>
      </w:r>
      <w:r w:rsidR="008B4E5A">
        <w:rPr>
          <w:rFonts w:cs="Calibri"/>
          <w:color w:val="000000"/>
          <w:lang w:bidi="ar-SA"/>
        </w:rPr>
        <w:t>to retake t</w:t>
      </w:r>
      <w:r w:rsidR="006468ED" w:rsidRPr="006468ED">
        <w:rPr>
          <w:rFonts w:cs="Calibri"/>
          <w:color w:val="000000"/>
          <w:lang w:bidi="ar-SA"/>
        </w:rPr>
        <w:t xml:space="preserve">he SEMI_DLT </w:t>
      </w:r>
      <w:r>
        <w:rPr>
          <w:rFonts w:cs="Calibri"/>
          <w:color w:val="000000"/>
          <w:lang w:bidi="ar-SA"/>
        </w:rPr>
        <w:t xml:space="preserve">(at least </w:t>
      </w:r>
      <w:r w:rsidR="006468ED" w:rsidRPr="006468ED">
        <w:rPr>
          <w:rFonts w:cs="Calibri"/>
          <w:color w:val="000000"/>
          <w:lang w:bidi="ar-SA"/>
        </w:rPr>
        <w:t>annually</w:t>
      </w:r>
      <w:r>
        <w:rPr>
          <w:rFonts w:cs="Calibri"/>
          <w:color w:val="000000"/>
          <w:lang w:bidi="ar-SA"/>
        </w:rPr>
        <w:t>).</w:t>
      </w:r>
    </w:p>
    <w:p w14:paraId="392AC709" w14:textId="77777777" w:rsidR="00D85F45" w:rsidRDefault="00D85F45" w:rsidP="000D7164">
      <w:pPr>
        <w:spacing w:before="0" w:after="0" w:line="240" w:lineRule="auto"/>
        <w:rPr>
          <w:rFonts w:cs="Calibri"/>
          <w:b/>
          <w:bCs/>
          <w:color w:val="003865" w:themeColor="accent1"/>
          <w:sz w:val="24"/>
          <w:szCs w:val="24"/>
          <w:lang w:bidi="ar-SA"/>
        </w:rPr>
      </w:pPr>
    </w:p>
    <w:p w14:paraId="0563B652" w14:textId="374828AC" w:rsidR="003816C4" w:rsidRPr="00A1510A" w:rsidRDefault="006468ED" w:rsidP="003816C4">
      <w:pPr>
        <w:spacing w:before="0" w:after="0" w:line="240" w:lineRule="auto"/>
        <w:rPr>
          <w:rFonts w:cs="Calibri"/>
          <w:b/>
          <w:bCs/>
          <w:color w:val="003865" w:themeColor="accent1"/>
          <w:sz w:val="24"/>
          <w:szCs w:val="24"/>
          <w:lang w:bidi="ar-SA"/>
        </w:rPr>
      </w:pPr>
      <w:r w:rsidRPr="00A1510A">
        <w:rPr>
          <w:rFonts w:cs="Calibri"/>
          <w:b/>
          <w:bCs/>
          <w:color w:val="003865" w:themeColor="accent1"/>
          <w:sz w:val="24"/>
          <w:szCs w:val="24"/>
          <w:lang w:bidi="ar-SA"/>
        </w:rPr>
        <w:t>The</w:t>
      </w:r>
      <w:r w:rsidR="003816C4" w:rsidRPr="00A1510A">
        <w:rPr>
          <w:rFonts w:cs="Calibri"/>
          <w:b/>
          <w:bCs/>
          <w:color w:val="003865" w:themeColor="accent1"/>
          <w:sz w:val="24"/>
          <w:szCs w:val="24"/>
          <w:lang w:bidi="ar-SA"/>
        </w:rPr>
        <w:t xml:space="preserve"> National Implementation Research Network (NIRN) resources</w:t>
      </w:r>
      <w:r w:rsidR="00A1510A">
        <w:rPr>
          <w:rFonts w:cs="Calibri"/>
          <w:b/>
          <w:bCs/>
          <w:color w:val="003865" w:themeColor="accent1"/>
          <w:sz w:val="24"/>
          <w:szCs w:val="24"/>
          <w:lang w:bidi="ar-SA"/>
        </w:rPr>
        <w:t xml:space="preserve"> linked below</w:t>
      </w:r>
      <w:r w:rsidRPr="00A1510A">
        <w:rPr>
          <w:rFonts w:cs="Calibri"/>
          <w:b/>
          <w:bCs/>
          <w:color w:val="003865" w:themeColor="accent1"/>
          <w:sz w:val="24"/>
          <w:szCs w:val="24"/>
          <w:lang w:bidi="ar-SA"/>
        </w:rPr>
        <w:t xml:space="preserve"> </w:t>
      </w:r>
      <w:r w:rsidR="008B4E5A" w:rsidRPr="00A1510A">
        <w:rPr>
          <w:rFonts w:cs="Calibri"/>
          <w:b/>
          <w:bCs/>
          <w:color w:val="003865" w:themeColor="accent1"/>
          <w:sz w:val="24"/>
          <w:szCs w:val="24"/>
          <w:lang w:bidi="ar-SA"/>
        </w:rPr>
        <w:t xml:space="preserve">are </w:t>
      </w:r>
      <w:r w:rsidR="00C81804" w:rsidRPr="00A1510A">
        <w:rPr>
          <w:rFonts w:cs="Calibri"/>
          <w:b/>
          <w:bCs/>
          <w:color w:val="003865" w:themeColor="accent1"/>
          <w:sz w:val="24"/>
          <w:szCs w:val="24"/>
          <w:lang w:bidi="ar-SA"/>
        </w:rPr>
        <w:t xml:space="preserve">also </w:t>
      </w:r>
      <w:r w:rsidR="008B4E5A" w:rsidRPr="00A1510A">
        <w:rPr>
          <w:rFonts w:cs="Calibri"/>
          <w:b/>
          <w:bCs/>
          <w:color w:val="003865" w:themeColor="accent1"/>
          <w:sz w:val="24"/>
          <w:szCs w:val="24"/>
          <w:lang w:bidi="ar-SA"/>
        </w:rPr>
        <w:t xml:space="preserve">available to </w:t>
      </w:r>
      <w:r w:rsidRPr="00A1510A">
        <w:rPr>
          <w:rFonts w:cs="Calibri"/>
          <w:b/>
          <w:bCs/>
          <w:color w:val="003865" w:themeColor="accent1"/>
          <w:sz w:val="24"/>
          <w:szCs w:val="24"/>
          <w:lang w:bidi="ar-SA"/>
        </w:rPr>
        <w:t>support district team</w:t>
      </w:r>
      <w:r w:rsidR="008B4E5A" w:rsidRPr="00A1510A">
        <w:rPr>
          <w:rFonts w:cs="Calibri"/>
          <w:b/>
          <w:bCs/>
          <w:color w:val="003865" w:themeColor="accent1"/>
          <w:sz w:val="24"/>
          <w:szCs w:val="24"/>
          <w:lang w:bidi="ar-SA"/>
        </w:rPr>
        <w:t xml:space="preserve"> decision-making</w:t>
      </w:r>
      <w:r w:rsidRPr="00A1510A">
        <w:rPr>
          <w:rFonts w:cs="Calibri"/>
          <w:b/>
          <w:bCs/>
          <w:color w:val="003865" w:themeColor="accent1"/>
          <w:sz w:val="24"/>
          <w:szCs w:val="24"/>
          <w:lang w:bidi="ar-SA"/>
        </w:rPr>
        <w:t xml:space="preserve"> and provide additional information for</w:t>
      </w:r>
      <w:r w:rsidR="003816C4" w:rsidRPr="00A1510A">
        <w:rPr>
          <w:rFonts w:cs="Calibri"/>
          <w:b/>
          <w:bCs/>
          <w:color w:val="003865" w:themeColor="accent1"/>
          <w:sz w:val="24"/>
          <w:szCs w:val="24"/>
          <w:lang w:bidi="ar-SA"/>
        </w:rPr>
        <w:t xml:space="preserve"> planning</w:t>
      </w:r>
      <w:r w:rsidR="008B4E5A" w:rsidRPr="00A1510A">
        <w:rPr>
          <w:rFonts w:cs="Calibri"/>
          <w:b/>
          <w:bCs/>
          <w:color w:val="003865" w:themeColor="accent1"/>
          <w:sz w:val="24"/>
          <w:szCs w:val="24"/>
          <w:lang w:bidi="ar-SA"/>
        </w:rPr>
        <w:t>.</w:t>
      </w:r>
    </w:p>
    <w:p w14:paraId="6A9DBA55" w14:textId="59075312" w:rsidR="003816C4" w:rsidRDefault="003816C4" w:rsidP="000D7164">
      <w:pPr>
        <w:spacing w:before="0" w:after="0" w:line="240" w:lineRule="auto"/>
        <w:rPr>
          <w:rFonts w:cs="Calibri"/>
          <w:b/>
          <w:bCs/>
          <w:color w:val="003865" w:themeColor="accent1"/>
          <w:sz w:val="24"/>
          <w:szCs w:val="24"/>
          <w:lang w:bidi="ar-SA"/>
        </w:rPr>
      </w:pPr>
      <w:r>
        <w:rPr>
          <w:rFonts w:cs="Calibri"/>
          <w:b/>
          <w:bCs/>
          <w:color w:val="003865" w:themeColor="accent1"/>
          <w:sz w:val="24"/>
          <w:szCs w:val="24"/>
          <w:lang w:bidi="ar-SA"/>
        </w:rPr>
        <w:tab/>
      </w:r>
      <w:r>
        <w:rPr>
          <w:rFonts w:cs="Calibri"/>
          <w:b/>
          <w:bCs/>
          <w:color w:val="003865" w:themeColor="accent1"/>
          <w:sz w:val="24"/>
          <w:szCs w:val="24"/>
          <w:lang w:bidi="ar-SA"/>
        </w:rPr>
        <w:tab/>
      </w:r>
      <w:r>
        <w:rPr>
          <w:rFonts w:cs="Calibri"/>
          <w:b/>
          <w:bCs/>
          <w:color w:val="003865" w:themeColor="accent1"/>
          <w:sz w:val="24"/>
          <w:szCs w:val="24"/>
          <w:lang w:bidi="ar-SA"/>
        </w:rPr>
        <w:tab/>
      </w:r>
      <w:r>
        <w:rPr>
          <w:rFonts w:cs="Calibri"/>
          <w:b/>
          <w:bCs/>
          <w:color w:val="003865" w:themeColor="accent1"/>
          <w:sz w:val="24"/>
          <w:szCs w:val="24"/>
          <w:lang w:bidi="ar-SA"/>
        </w:rPr>
        <w:tab/>
      </w:r>
      <w:r>
        <w:rPr>
          <w:rFonts w:cs="Calibri"/>
          <w:b/>
          <w:bCs/>
          <w:color w:val="003865" w:themeColor="accent1"/>
          <w:sz w:val="24"/>
          <w:szCs w:val="24"/>
          <w:lang w:bidi="ar-SA"/>
        </w:rPr>
        <w:tab/>
      </w:r>
      <w:r>
        <w:rPr>
          <w:rFonts w:cs="Calibri"/>
          <w:b/>
          <w:bCs/>
          <w:color w:val="003865" w:themeColor="accent1"/>
          <w:sz w:val="24"/>
          <w:szCs w:val="24"/>
          <w:lang w:bidi="ar-SA"/>
        </w:rPr>
        <w:tab/>
      </w:r>
      <w:r>
        <w:rPr>
          <w:rFonts w:cs="Calibri"/>
          <w:b/>
          <w:bCs/>
          <w:color w:val="003865" w:themeColor="accent1"/>
          <w:sz w:val="24"/>
          <w:szCs w:val="24"/>
          <w:lang w:bidi="ar-SA"/>
        </w:rPr>
        <w:tab/>
      </w:r>
    </w:p>
    <w:p w14:paraId="64728AAC" w14:textId="2A79DD45" w:rsidR="000D7164" w:rsidRPr="00A00A1C" w:rsidRDefault="00A42B6F" w:rsidP="00F10FAC">
      <w:pPr>
        <w:spacing w:before="0" w:after="240" w:line="240" w:lineRule="auto"/>
        <w:rPr>
          <w:rFonts w:ascii="Times New Roman" w:hAnsi="Times New Roman"/>
          <w:color w:val="003865" w:themeColor="accent1"/>
          <w:sz w:val="24"/>
          <w:szCs w:val="24"/>
          <w:lang w:bidi="ar-SA"/>
        </w:rPr>
      </w:pPr>
      <w:hyperlink r:id="rId17" w:history="1">
        <w:r w:rsidR="000D7164" w:rsidRPr="003816C4">
          <w:rPr>
            <w:rStyle w:val="Hyperlink"/>
            <w:rFonts w:cs="Calibri"/>
            <w:b/>
            <w:bCs/>
            <w:sz w:val="24"/>
            <w:szCs w:val="24"/>
            <w:lang w:bidi="ar-SA"/>
          </w:rPr>
          <w:t>District Capacity Assessment</w:t>
        </w:r>
      </w:hyperlink>
      <w:r w:rsidR="000D7164" w:rsidRPr="00A00A1C">
        <w:rPr>
          <w:rFonts w:cs="Calibri"/>
          <w:b/>
          <w:bCs/>
          <w:color w:val="003865" w:themeColor="accent1"/>
          <w:sz w:val="24"/>
          <w:szCs w:val="24"/>
          <w:lang w:bidi="ar-SA"/>
        </w:rPr>
        <w:t xml:space="preserve"> </w:t>
      </w:r>
    </w:p>
    <w:p w14:paraId="6F82F0D7" w14:textId="50A03488" w:rsidR="000D7164" w:rsidRDefault="000D7164" w:rsidP="006468ED">
      <w:pPr>
        <w:spacing w:before="0" w:after="0" w:line="240" w:lineRule="auto"/>
        <w:rPr>
          <w:rFonts w:cs="Calibri"/>
          <w:color w:val="000000"/>
          <w:lang w:bidi="ar-SA"/>
        </w:rPr>
      </w:pPr>
      <w:r w:rsidRPr="00A00A1C">
        <w:rPr>
          <w:rFonts w:cs="Calibri"/>
          <w:color w:val="000000"/>
          <w:lang w:bidi="ar-SA"/>
        </w:rPr>
        <w:t xml:space="preserve">The purpose of the District Capacity Assessment is to assist school districts in planning for implementation of effective innovations such as MnMTSS. This tool </w:t>
      </w:r>
      <w:r w:rsidRPr="00A00A1C">
        <w:rPr>
          <w:rFonts w:cs="Calibri"/>
          <w:i/>
          <w:iCs/>
          <w:color w:val="000000"/>
          <w:lang w:bidi="ar-SA"/>
        </w:rPr>
        <w:t>measures the capacity</w:t>
      </w:r>
      <w:r w:rsidRPr="00A00A1C">
        <w:rPr>
          <w:rFonts w:cs="Calibri"/>
          <w:color w:val="000000"/>
          <w:lang w:bidi="ar-SA"/>
        </w:rPr>
        <w:t xml:space="preserve"> (systems, activities and resources) of a district to facilitate building-level implementation.</w:t>
      </w:r>
    </w:p>
    <w:p w14:paraId="46BA4527" w14:textId="77777777" w:rsidR="006468ED" w:rsidRPr="006468ED" w:rsidRDefault="006468ED" w:rsidP="006468ED">
      <w:pPr>
        <w:spacing w:before="0" w:after="0" w:line="240" w:lineRule="auto"/>
        <w:rPr>
          <w:rFonts w:cs="Calibri"/>
          <w:color w:val="000000"/>
          <w:lang w:bidi="ar-SA"/>
        </w:rPr>
      </w:pPr>
    </w:p>
    <w:p w14:paraId="0D5E51D5" w14:textId="42C5D613" w:rsidR="000D7164" w:rsidRPr="00A00A1C" w:rsidRDefault="00A42B6F" w:rsidP="00F10FAC">
      <w:pPr>
        <w:spacing w:before="0" w:after="240" w:line="240" w:lineRule="auto"/>
        <w:rPr>
          <w:rFonts w:cs="Calibri"/>
          <w:b/>
          <w:bCs/>
          <w:color w:val="003865" w:themeColor="accent1"/>
          <w:sz w:val="24"/>
          <w:szCs w:val="24"/>
          <w:lang w:bidi="ar-SA"/>
        </w:rPr>
      </w:pPr>
      <w:hyperlink r:id="rId18" w:history="1">
        <w:r w:rsidR="000D7164" w:rsidRPr="006468ED">
          <w:rPr>
            <w:rStyle w:val="Hyperlink"/>
            <w:rFonts w:cs="Calibri"/>
            <w:b/>
            <w:bCs/>
            <w:sz w:val="24"/>
            <w:szCs w:val="24"/>
            <w:lang w:bidi="ar-SA"/>
          </w:rPr>
          <w:t>Initiative Inventory</w:t>
        </w:r>
      </w:hyperlink>
    </w:p>
    <w:p w14:paraId="1DA0F75E" w14:textId="6C944806" w:rsidR="000D7164" w:rsidRDefault="00BB2311" w:rsidP="000D7164">
      <w:pPr>
        <w:spacing w:before="0" w:after="0" w:line="240" w:lineRule="auto"/>
        <w:rPr>
          <w:rFonts w:asciiTheme="minorHAnsi" w:hAnsiTheme="minorHAnsi" w:cstheme="minorHAnsi"/>
          <w:lang w:bidi="ar-SA"/>
        </w:rPr>
      </w:pPr>
      <w:r>
        <w:rPr>
          <w:rFonts w:asciiTheme="minorHAnsi" w:hAnsiTheme="minorHAnsi" w:cstheme="minorHAnsi"/>
          <w:lang w:bidi="ar-SA"/>
        </w:rPr>
        <w:t>An</w:t>
      </w:r>
      <w:r w:rsidR="003816C4" w:rsidRPr="006468ED">
        <w:rPr>
          <w:rFonts w:asciiTheme="minorHAnsi" w:hAnsiTheme="minorHAnsi" w:cstheme="minorHAnsi"/>
          <w:lang w:bidi="ar-SA"/>
        </w:rPr>
        <w:t xml:space="preserve"> Initiative Inventory </w:t>
      </w:r>
      <w:r>
        <w:rPr>
          <w:rFonts w:asciiTheme="minorHAnsi" w:hAnsiTheme="minorHAnsi" w:cstheme="minorHAnsi"/>
          <w:lang w:bidi="ar-SA"/>
        </w:rPr>
        <w:t xml:space="preserve">can </w:t>
      </w:r>
      <w:r w:rsidR="006468ED" w:rsidRPr="006468ED">
        <w:rPr>
          <w:rFonts w:asciiTheme="minorHAnsi" w:hAnsiTheme="minorHAnsi" w:cstheme="minorHAnsi"/>
          <w:lang w:bidi="ar-SA"/>
        </w:rPr>
        <w:t>hel</w:t>
      </w:r>
      <w:r>
        <w:rPr>
          <w:rFonts w:asciiTheme="minorHAnsi" w:hAnsiTheme="minorHAnsi" w:cstheme="minorHAnsi"/>
          <w:lang w:bidi="ar-SA"/>
        </w:rPr>
        <w:t>p</w:t>
      </w:r>
      <w:r w:rsidR="006468ED" w:rsidRPr="006468ED">
        <w:rPr>
          <w:rFonts w:asciiTheme="minorHAnsi" w:hAnsiTheme="minorHAnsi" w:cstheme="minorHAnsi"/>
          <w:lang w:bidi="ar-SA"/>
        </w:rPr>
        <w:t xml:space="preserve"> district teams get a clear picture of past and current programs, practices, initiatives and innovations. Information and data collected can be used by the organization to explore fit of additional initiatives with current work and help guide decisions to make room for new work.</w:t>
      </w:r>
    </w:p>
    <w:p w14:paraId="034318F9" w14:textId="77777777" w:rsidR="005E32B6" w:rsidRDefault="005E32B6" w:rsidP="000D7164">
      <w:pPr>
        <w:spacing w:before="0" w:after="0" w:line="240" w:lineRule="auto"/>
        <w:rPr>
          <w:rFonts w:asciiTheme="minorHAnsi" w:hAnsiTheme="minorHAnsi" w:cstheme="minorHAnsi"/>
          <w:b/>
          <w:bCs/>
          <w:color w:val="003865" w:themeColor="accent1"/>
          <w:sz w:val="24"/>
          <w:szCs w:val="24"/>
          <w:lang w:bidi="ar-SA"/>
        </w:rPr>
      </w:pPr>
    </w:p>
    <w:p w14:paraId="68843963" w14:textId="5F3A7811" w:rsidR="005E32B6" w:rsidRPr="005E32B6" w:rsidRDefault="005E32B6" w:rsidP="00F10FAC">
      <w:pPr>
        <w:spacing w:before="0" w:after="240" w:line="240" w:lineRule="auto"/>
        <w:rPr>
          <w:rFonts w:asciiTheme="minorHAnsi" w:hAnsiTheme="minorHAnsi" w:cstheme="minorHAnsi"/>
          <w:b/>
          <w:bCs/>
          <w:color w:val="003865" w:themeColor="accent1"/>
          <w:sz w:val="28"/>
          <w:szCs w:val="28"/>
          <w:lang w:bidi="ar-SA"/>
        </w:rPr>
      </w:pPr>
      <w:r>
        <w:rPr>
          <w:rFonts w:asciiTheme="minorHAnsi" w:hAnsiTheme="minorHAnsi" w:cstheme="minorHAnsi"/>
          <w:b/>
          <w:bCs/>
          <w:color w:val="003865" w:themeColor="accent1"/>
          <w:sz w:val="28"/>
          <w:szCs w:val="28"/>
          <w:lang w:bidi="ar-SA"/>
        </w:rPr>
        <w:t>Additional Resource</w:t>
      </w:r>
    </w:p>
    <w:p w14:paraId="53DF785A" w14:textId="75CCA775" w:rsidR="000D7164" w:rsidRPr="005E32B6" w:rsidRDefault="00A42B6F" w:rsidP="000D7164">
      <w:pPr>
        <w:spacing w:before="0" w:after="0" w:line="240" w:lineRule="auto"/>
        <w:rPr>
          <w:rFonts w:asciiTheme="minorHAnsi" w:hAnsiTheme="minorHAnsi" w:cstheme="minorHAnsi"/>
          <w:color w:val="000000" w:themeColor="text2"/>
          <w:lang w:bidi="ar-SA"/>
        </w:rPr>
      </w:pPr>
      <w:hyperlink r:id="rId19" w:history="1">
        <w:r w:rsidR="000D0B81" w:rsidRPr="00F10FAC">
          <w:rPr>
            <w:rStyle w:val="Hyperlink"/>
            <w:rFonts w:asciiTheme="minorHAnsi" w:hAnsiTheme="minorHAnsi" w:cstheme="minorHAnsi"/>
            <w:bCs/>
            <w:lang w:bidi="ar-SA"/>
          </w:rPr>
          <w:t>The Alliance for Resource Equity</w:t>
        </w:r>
      </w:hyperlink>
      <w:r w:rsidR="005E32B6" w:rsidRPr="005E32B6">
        <w:rPr>
          <w:rFonts w:asciiTheme="minorHAnsi" w:hAnsiTheme="minorHAnsi" w:cstheme="minorHAnsi"/>
          <w:b/>
          <w:bCs/>
          <w:color w:val="003865" w:themeColor="accent1"/>
          <w:lang w:bidi="ar-SA"/>
        </w:rPr>
        <w:t xml:space="preserve"> </w:t>
      </w:r>
      <w:r w:rsidR="005E32B6" w:rsidRPr="005E32B6">
        <w:rPr>
          <w:rFonts w:asciiTheme="minorHAnsi" w:hAnsiTheme="minorHAnsi" w:cstheme="minorHAnsi"/>
          <w:color w:val="000000" w:themeColor="text2"/>
          <w:lang w:bidi="ar-SA"/>
        </w:rPr>
        <w:t xml:space="preserve">provides information on the </w:t>
      </w:r>
      <w:r w:rsidR="00F10FAC">
        <w:rPr>
          <w:rFonts w:asciiTheme="minorHAnsi" w:hAnsiTheme="minorHAnsi" w:cstheme="minorHAnsi"/>
          <w:color w:val="000000" w:themeColor="text2"/>
          <w:lang w:bidi="ar-SA"/>
        </w:rPr>
        <w:t>10</w:t>
      </w:r>
      <w:r w:rsidR="005E32B6" w:rsidRPr="005E32B6">
        <w:rPr>
          <w:rFonts w:asciiTheme="minorHAnsi" w:hAnsiTheme="minorHAnsi" w:cstheme="minorHAnsi"/>
          <w:color w:val="000000" w:themeColor="text2"/>
          <w:lang w:bidi="ar-SA"/>
        </w:rPr>
        <w:t xml:space="preserve"> dimen</w:t>
      </w:r>
      <w:r w:rsidR="00F10FAC">
        <w:rPr>
          <w:rFonts w:asciiTheme="minorHAnsi" w:hAnsiTheme="minorHAnsi" w:cstheme="minorHAnsi"/>
          <w:color w:val="000000" w:themeColor="text2"/>
          <w:lang w:bidi="ar-SA"/>
        </w:rPr>
        <w:t>sions of resource equity and a t</w:t>
      </w:r>
      <w:r w:rsidR="005E32B6" w:rsidRPr="005E32B6">
        <w:rPr>
          <w:rFonts w:asciiTheme="minorHAnsi" w:hAnsiTheme="minorHAnsi" w:cstheme="minorHAnsi"/>
          <w:color w:val="000000" w:themeColor="text2"/>
          <w:lang w:bidi="ar-SA"/>
        </w:rPr>
        <w:t>oolkit that can be used</w:t>
      </w:r>
      <w:r w:rsidR="00CF58B2">
        <w:rPr>
          <w:rFonts w:asciiTheme="minorHAnsi" w:hAnsiTheme="minorHAnsi" w:cstheme="minorHAnsi"/>
          <w:color w:val="000000" w:themeColor="text2"/>
          <w:lang w:bidi="ar-SA"/>
        </w:rPr>
        <w:t xml:space="preserve"> by district teams</w:t>
      </w:r>
      <w:r w:rsidR="005E32B6" w:rsidRPr="005E32B6">
        <w:rPr>
          <w:rFonts w:asciiTheme="minorHAnsi" w:hAnsiTheme="minorHAnsi" w:cstheme="minorHAnsi"/>
          <w:color w:val="000000" w:themeColor="text2"/>
          <w:lang w:bidi="ar-SA"/>
        </w:rPr>
        <w:t xml:space="preserve"> to conduc</w:t>
      </w:r>
      <w:r w:rsidR="00F10FAC">
        <w:rPr>
          <w:rFonts w:asciiTheme="minorHAnsi" w:hAnsiTheme="minorHAnsi" w:cstheme="minorHAnsi"/>
          <w:color w:val="000000" w:themeColor="text2"/>
          <w:lang w:bidi="ar-SA"/>
        </w:rPr>
        <w:t>t a r</w:t>
      </w:r>
      <w:r w:rsidR="005E32B6" w:rsidRPr="005E32B6">
        <w:rPr>
          <w:rFonts w:asciiTheme="minorHAnsi" w:hAnsiTheme="minorHAnsi" w:cstheme="minorHAnsi"/>
          <w:color w:val="000000" w:themeColor="text2"/>
          <w:lang w:bidi="ar-SA"/>
        </w:rPr>
        <w:t xml:space="preserve">esource </w:t>
      </w:r>
      <w:r w:rsidR="00F10FAC">
        <w:rPr>
          <w:rFonts w:asciiTheme="minorHAnsi" w:hAnsiTheme="minorHAnsi" w:cstheme="minorHAnsi"/>
          <w:color w:val="000000" w:themeColor="text2"/>
          <w:lang w:bidi="ar-SA"/>
        </w:rPr>
        <w:t>e</w:t>
      </w:r>
      <w:r w:rsidR="005E32B6" w:rsidRPr="005E32B6">
        <w:rPr>
          <w:rFonts w:asciiTheme="minorHAnsi" w:hAnsiTheme="minorHAnsi" w:cstheme="minorHAnsi"/>
          <w:color w:val="000000" w:themeColor="text2"/>
          <w:lang w:bidi="ar-SA"/>
        </w:rPr>
        <w:t>quity diagnostic.</w:t>
      </w:r>
      <w:bookmarkStart w:id="0" w:name="_GoBack"/>
      <w:bookmarkEnd w:id="0"/>
    </w:p>
    <w:sectPr w:rsidR="000D7164" w:rsidRPr="005E32B6" w:rsidSect="00B437C8">
      <w:footerReference w:type="even" r:id="rId20"/>
      <w:footerReference w:type="default" r:id="rId21"/>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9406" w14:textId="77777777" w:rsidR="008149B2" w:rsidRDefault="008149B2" w:rsidP="00D91FF4">
      <w:r>
        <w:separator/>
      </w:r>
    </w:p>
  </w:endnote>
  <w:endnote w:type="continuationSeparator" w:id="0">
    <w:p w14:paraId="04E9866A" w14:textId="77777777" w:rsidR="008149B2" w:rsidRDefault="008149B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8920037"/>
      <w:docPartObj>
        <w:docPartGallery w:val="Page Numbers (Bottom of Page)"/>
        <w:docPartUnique/>
      </w:docPartObj>
    </w:sdtPr>
    <w:sdtEndPr>
      <w:rPr>
        <w:rStyle w:val="PageNumber"/>
      </w:rPr>
    </w:sdtEndPr>
    <w:sdtContent>
      <w:p w14:paraId="424A7A5F" w14:textId="07F1F42C" w:rsidR="005E32B6" w:rsidRDefault="005E32B6" w:rsidP="00B14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C9FC7" w14:textId="77777777" w:rsidR="005E32B6" w:rsidRDefault="005E32B6" w:rsidP="005E3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6535439"/>
      <w:docPartObj>
        <w:docPartGallery w:val="Page Numbers (Bottom of Page)"/>
        <w:docPartUnique/>
      </w:docPartObj>
    </w:sdtPr>
    <w:sdtEndPr>
      <w:rPr>
        <w:rStyle w:val="PageNumber"/>
      </w:rPr>
    </w:sdtEndPr>
    <w:sdtContent>
      <w:p w14:paraId="7CE90372" w14:textId="57AD1FDB" w:rsidR="005E32B6" w:rsidRDefault="005E32B6" w:rsidP="00B14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2B6F">
          <w:rPr>
            <w:rStyle w:val="PageNumber"/>
            <w:noProof/>
          </w:rPr>
          <w:t>3</w:t>
        </w:r>
        <w:r>
          <w:rPr>
            <w:rStyle w:val="PageNumber"/>
          </w:rPr>
          <w:fldChar w:fldCharType="end"/>
        </w:r>
      </w:p>
    </w:sdtContent>
  </w:sdt>
  <w:p w14:paraId="7059FE92" w14:textId="77777777" w:rsidR="007857F7" w:rsidRDefault="007857F7" w:rsidP="005E32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20DC"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8AC9" w14:textId="77777777" w:rsidR="008149B2" w:rsidRDefault="008149B2" w:rsidP="00D91FF4">
      <w:r>
        <w:separator/>
      </w:r>
    </w:p>
  </w:footnote>
  <w:footnote w:type="continuationSeparator" w:id="0">
    <w:p w14:paraId="1719A9B3" w14:textId="77777777" w:rsidR="008149B2" w:rsidRDefault="008149B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25.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18B9"/>
    <w:multiLevelType w:val="multilevel"/>
    <w:tmpl w:val="5D6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702A2"/>
    <w:multiLevelType w:val="hybridMultilevel"/>
    <w:tmpl w:val="2A1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64408"/>
    <w:multiLevelType w:val="multilevel"/>
    <w:tmpl w:val="6F48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26"/>
  </w:num>
  <w:num w:numId="5">
    <w:abstractNumId w:val="23"/>
  </w:num>
  <w:num w:numId="6">
    <w:abstractNumId w:val="11"/>
  </w:num>
  <w:num w:numId="7">
    <w:abstractNumId w:val="20"/>
  </w:num>
  <w:num w:numId="8">
    <w:abstractNumId w:val="15"/>
  </w:num>
  <w:num w:numId="9">
    <w:abstractNumId w:val="18"/>
  </w:num>
  <w:num w:numId="10">
    <w:abstractNumId w:val="8"/>
  </w:num>
  <w:num w:numId="11">
    <w:abstractNumId w:val="8"/>
  </w:num>
  <w:num w:numId="12">
    <w:abstractNumId w:val="31"/>
  </w:num>
  <w:num w:numId="13">
    <w:abstractNumId w:val="32"/>
  </w:num>
  <w:num w:numId="14">
    <w:abstractNumId w:val="22"/>
  </w:num>
  <w:num w:numId="15">
    <w:abstractNumId w:val="8"/>
  </w:num>
  <w:num w:numId="16">
    <w:abstractNumId w:val="32"/>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4"/>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0"/>
  </w:num>
  <w:num w:numId="37">
    <w:abstractNumId w:val="25"/>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64"/>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A3421"/>
    <w:rsid w:val="000B0A75"/>
    <w:rsid w:val="000B2E68"/>
    <w:rsid w:val="000C3708"/>
    <w:rsid w:val="000C3761"/>
    <w:rsid w:val="000C7373"/>
    <w:rsid w:val="000D0B81"/>
    <w:rsid w:val="000D7164"/>
    <w:rsid w:val="000E313B"/>
    <w:rsid w:val="000E3E9D"/>
    <w:rsid w:val="000F4BB1"/>
    <w:rsid w:val="00135082"/>
    <w:rsid w:val="00135DC7"/>
    <w:rsid w:val="00147ED1"/>
    <w:rsid w:val="001500D6"/>
    <w:rsid w:val="00157C41"/>
    <w:rsid w:val="0016050A"/>
    <w:rsid w:val="0016451B"/>
    <w:rsid w:val="001661D9"/>
    <w:rsid w:val="001708EC"/>
    <w:rsid w:val="001728B2"/>
    <w:rsid w:val="001925A8"/>
    <w:rsid w:val="0019673D"/>
    <w:rsid w:val="00197518"/>
    <w:rsid w:val="00197F44"/>
    <w:rsid w:val="001A13F6"/>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9766D"/>
    <w:rsid w:val="002A12EA"/>
    <w:rsid w:val="002B57CC"/>
    <w:rsid w:val="002B5E79"/>
    <w:rsid w:val="002C0859"/>
    <w:rsid w:val="002C4D0D"/>
    <w:rsid w:val="002C699A"/>
    <w:rsid w:val="002E7098"/>
    <w:rsid w:val="002F1947"/>
    <w:rsid w:val="00306D94"/>
    <w:rsid w:val="003125DF"/>
    <w:rsid w:val="00330A0B"/>
    <w:rsid w:val="00335736"/>
    <w:rsid w:val="003563D2"/>
    <w:rsid w:val="00376FA5"/>
    <w:rsid w:val="00377673"/>
    <w:rsid w:val="003816C4"/>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D703B"/>
    <w:rsid w:val="004E3DF6"/>
    <w:rsid w:val="004E75B3"/>
    <w:rsid w:val="004F04BA"/>
    <w:rsid w:val="004F0EFF"/>
    <w:rsid w:val="0050093F"/>
    <w:rsid w:val="00514788"/>
    <w:rsid w:val="0054371B"/>
    <w:rsid w:val="00547E68"/>
    <w:rsid w:val="0056615E"/>
    <w:rsid w:val="005666F2"/>
    <w:rsid w:val="0057515F"/>
    <w:rsid w:val="005764FB"/>
    <w:rsid w:val="0058227B"/>
    <w:rsid w:val="005838C5"/>
    <w:rsid w:val="005B2DDF"/>
    <w:rsid w:val="005B4AE7"/>
    <w:rsid w:val="005B53B0"/>
    <w:rsid w:val="005C16D8"/>
    <w:rsid w:val="005D4207"/>
    <w:rsid w:val="005D4525"/>
    <w:rsid w:val="005D45B3"/>
    <w:rsid w:val="005D5716"/>
    <w:rsid w:val="005E10A6"/>
    <w:rsid w:val="005E32B6"/>
    <w:rsid w:val="005E3FC1"/>
    <w:rsid w:val="005F29C7"/>
    <w:rsid w:val="005F6005"/>
    <w:rsid w:val="00601B3F"/>
    <w:rsid w:val="006064AB"/>
    <w:rsid w:val="00621BD2"/>
    <w:rsid w:val="00622BB5"/>
    <w:rsid w:val="00641998"/>
    <w:rsid w:val="006468ED"/>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570"/>
    <w:rsid w:val="006F3B38"/>
    <w:rsid w:val="00703012"/>
    <w:rsid w:val="00703FE7"/>
    <w:rsid w:val="007137A4"/>
    <w:rsid w:val="00742F1A"/>
    <w:rsid w:val="0074778B"/>
    <w:rsid w:val="0077225E"/>
    <w:rsid w:val="007857F7"/>
    <w:rsid w:val="00793F48"/>
    <w:rsid w:val="007A76FD"/>
    <w:rsid w:val="007B35B2"/>
    <w:rsid w:val="007D1FFF"/>
    <w:rsid w:val="007D42A0"/>
    <w:rsid w:val="007E685C"/>
    <w:rsid w:val="007F6108"/>
    <w:rsid w:val="007F7097"/>
    <w:rsid w:val="00806678"/>
    <w:rsid w:val="008067A6"/>
    <w:rsid w:val="008140CC"/>
    <w:rsid w:val="008149B2"/>
    <w:rsid w:val="008251B3"/>
    <w:rsid w:val="00844F1D"/>
    <w:rsid w:val="00846F64"/>
    <w:rsid w:val="0084731A"/>
    <w:rsid w:val="0084749F"/>
    <w:rsid w:val="008621EB"/>
    <w:rsid w:val="00864202"/>
    <w:rsid w:val="008A76FD"/>
    <w:rsid w:val="008B0BDB"/>
    <w:rsid w:val="008B4E5A"/>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1510A"/>
    <w:rsid w:val="00A15184"/>
    <w:rsid w:val="00A30799"/>
    <w:rsid w:val="00A42B6F"/>
    <w:rsid w:val="00A476C1"/>
    <w:rsid w:val="00A513B6"/>
    <w:rsid w:val="00A57FE8"/>
    <w:rsid w:val="00A64ECE"/>
    <w:rsid w:val="00A66185"/>
    <w:rsid w:val="00A70478"/>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031E"/>
    <w:rsid w:val="00B06264"/>
    <w:rsid w:val="00B07C8F"/>
    <w:rsid w:val="00B275D4"/>
    <w:rsid w:val="00B350C0"/>
    <w:rsid w:val="00B437C8"/>
    <w:rsid w:val="00B61640"/>
    <w:rsid w:val="00B75051"/>
    <w:rsid w:val="00B77CC5"/>
    <w:rsid w:val="00B859DE"/>
    <w:rsid w:val="00BB2311"/>
    <w:rsid w:val="00BC588A"/>
    <w:rsid w:val="00BD0E59"/>
    <w:rsid w:val="00BE0288"/>
    <w:rsid w:val="00BE3444"/>
    <w:rsid w:val="00C05A8E"/>
    <w:rsid w:val="00C12441"/>
    <w:rsid w:val="00C12D2F"/>
    <w:rsid w:val="00C277A8"/>
    <w:rsid w:val="00C309AE"/>
    <w:rsid w:val="00C365CE"/>
    <w:rsid w:val="00C417EB"/>
    <w:rsid w:val="00C528AE"/>
    <w:rsid w:val="00C76FD5"/>
    <w:rsid w:val="00C81804"/>
    <w:rsid w:val="00C90830"/>
    <w:rsid w:val="00CA03A2"/>
    <w:rsid w:val="00CA5D23"/>
    <w:rsid w:val="00CE0FEE"/>
    <w:rsid w:val="00CE45B0"/>
    <w:rsid w:val="00CF1393"/>
    <w:rsid w:val="00CF4F3A"/>
    <w:rsid w:val="00CF58B2"/>
    <w:rsid w:val="00D0014D"/>
    <w:rsid w:val="00D03DFF"/>
    <w:rsid w:val="00D059F7"/>
    <w:rsid w:val="00D22819"/>
    <w:rsid w:val="00D33929"/>
    <w:rsid w:val="00D3517D"/>
    <w:rsid w:val="00D511F0"/>
    <w:rsid w:val="00D54EE5"/>
    <w:rsid w:val="00D63F82"/>
    <w:rsid w:val="00D640FC"/>
    <w:rsid w:val="00D70F7D"/>
    <w:rsid w:val="00D761F7"/>
    <w:rsid w:val="00D85D10"/>
    <w:rsid w:val="00D85F45"/>
    <w:rsid w:val="00D91FF4"/>
    <w:rsid w:val="00D92929"/>
    <w:rsid w:val="00D93C2E"/>
    <w:rsid w:val="00D970A5"/>
    <w:rsid w:val="00DB4967"/>
    <w:rsid w:val="00DC1A1C"/>
    <w:rsid w:val="00DC22CF"/>
    <w:rsid w:val="00DE4DAA"/>
    <w:rsid w:val="00DE50CB"/>
    <w:rsid w:val="00DE761C"/>
    <w:rsid w:val="00E07A43"/>
    <w:rsid w:val="00E206AE"/>
    <w:rsid w:val="00E20F02"/>
    <w:rsid w:val="00E21D72"/>
    <w:rsid w:val="00E229C1"/>
    <w:rsid w:val="00E23397"/>
    <w:rsid w:val="00E32CD7"/>
    <w:rsid w:val="00E37DF5"/>
    <w:rsid w:val="00E4065C"/>
    <w:rsid w:val="00E44EE1"/>
    <w:rsid w:val="00E5241D"/>
    <w:rsid w:val="00E55EE8"/>
    <w:rsid w:val="00E5680C"/>
    <w:rsid w:val="00E56B95"/>
    <w:rsid w:val="00E61A16"/>
    <w:rsid w:val="00E6522A"/>
    <w:rsid w:val="00E66DA5"/>
    <w:rsid w:val="00E7358D"/>
    <w:rsid w:val="00E76267"/>
    <w:rsid w:val="00EA535B"/>
    <w:rsid w:val="00EC579D"/>
    <w:rsid w:val="00ED5BDC"/>
    <w:rsid w:val="00ED7DAC"/>
    <w:rsid w:val="00F067A6"/>
    <w:rsid w:val="00F10FAC"/>
    <w:rsid w:val="00F20B25"/>
    <w:rsid w:val="00F212F3"/>
    <w:rsid w:val="00F278C3"/>
    <w:rsid w:val="00F30574"/>
    <w:rsid w:val="00F3338D"/>
    <w:rsid w:val="00F70C03"/>
    <w:rsid w:val="00F9084A"/>
    <w:rsid w:val="00FB6E40"/>
    <w:rsid w:val="00FD1CCB"/>
    <w:rsid w:val="00FD5BF8"/>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C1DBE83"/>
  <w15:chartTrackingRefBased/>
  <w15:docId w15:val="{D46846EE-2E5D-489A-8C3E-EAAB92B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0D7164"/>
    <w:rPr>
      <w:sz w:val="16"/>
      <w:szCs w:val="16"/>
    </w:rPr>
  </w:style>
  <w:style w:type="paragraph" w:styleId="CommentText">
    <w:name w:val="annotation text"/>
    <w:basedOn w:val="Normal"/>
    <w:link w:val="CommentTextChar"/>
    <w:semiHidden/>
    <w:unhideWhenUsed/>
    <w:rsid w:val="000D7164"/>
    <w:pPr>
      <w:spacing w:line="240" w:lineRule="auto"/>
    </w:pPr>
    <w:rPr>
      <w:sz w:val="20"/>
      <w:szCs w:val="20"/>
    </w:rPr>
  </w:style>
  <w:style w:type="character" w:customStyle="1" w:styleId="CommentTextChar">
    <w:name w:val="Comment Text Char"/>
    <w:basedOn w:val="DefaultParagraphFont"/>
    <w:link w:val="CommentText"/>
    <w:semiHidden/>
    <w:rsid w:val="000D7164"/>
    <w:rPr>
      <w:sz w:val="20"/>
      <w:szCs w:val="20"/>
    </w:rPr>
  </w:style>
  <w:style w:type="paragraph" w:styleId="BalloonText">
    <w:name w:val="Balloon Text"/>
    <w:basedOn w:val="Normal"/>
    <w:link w:val="BalloonTextChar"/>
    <w:semiHidden/>
    <w:unhideWhenUsed/>
    <w:rsid w:val="000D71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16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D7164"/>
    <w:rPr>
      <w:b/>
      <w:bCs/>
    </w:rPr>
  </w:style>
  <w:style w:type="character" w:customStyle="1" w:styleId="CommentSubjectChar">
    <w:name w:val="Comment Subject Char"/>
    <w:basedOn w:val="CommentTextChar"/>
    <w:link w:val="CommentSubject"/>
    <w:semiHidden/>
    <w:rsid w:val="000D7164"/>
    <w:rPr>
      <w:b/>
      <w:bCs/>
      <w:sz w:val="20"/>
      <w:szCs w:val="20"/>
    </w:rPr>
  </w:style>
  <w:style w:type="character" w:styleId="FollowedHyperlink">
    <w:name w:val="FollowedHyperlink"/>
    <w:basedOn w:val="DefaultParagraphFont"/>
    <w:semiHidden/>
    <w:unhideWhenUsed/>
    <w:rsid w:val="003816C4"/>
    <w:rPr>
      <w:color w:val="5D295F" w:themeColor="followedHyperlink"/>
      <w:u w:val="single"/>
    </w:rPr>
  </w:style>
  <w:style w:type="character" w:customStyle="1" w:styleId="UnresolvedMention">
    <w:name w:val="Unresolved Mention"/>
    <w:basedOn w:val="DefaultParagraphFont"/>
    <w:uiPriority w:val="99"/>
    <w:semiHidden/>
    <w:unhideWhenUsed/>
    <w:rsid w:val="003816C4"/>
    <w:rPr>
      <w:color w:val="605E5C"/>
      <w:shd w:val="clear" w:color="auto" w:fill="E1DFDD"/>
    </w:rPr>
  </w:style>
  <w:style w:type="paragraph" w:styleId="NormalWeb">
    <w:name w:val="Normal (Web)"/>
    <w:basedOn w:val="Normal"/>
    <w:uiPriority w:val="99"/>
    <w:unhideWhenUsed/>
    <w:rsid w:val="00B0031E"/>
    <w:pPr>
      <w:spacing w:before="100" w:beforeAutospacing="1" w:after="100" w:afterAutospacing="1" w:line="240" w:lineRule="auto"/>
    </w:pPr>
    <w:rPr>
      <w:rFonts w:ascii="Times New Roman" w:hAnsi="Times New Roman"/>
      <w:sz w:val="24"/>
      <w:szCs w:val="24"/>
      <w:lang w:bidi="ar-SA"/>
    </w:rPr>
  </w:style>
  <w:style w:type="character" w:styleId="PageNumber">
    <w:name w:val="page number"/>
    <w:basedOn w:val="DefaultParagraphFont"/>
    <w:semiHidden/>
    <w:unhideWhenUsed/>
    <w:rsid w:val="005E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mtss/" TargetMode="External"/><Relationship Id="rId18" Type="http://schemas.openxmlformats.org/officeDocument/2006/relationships/hyperlink" Target="https://nirn.fpg.unc.edu/resources/initiative-inventor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mn.gov/mdeprod/idcplg?IdcService=GET_FILE&amp;dDocName=PROD046955&amp;RevisionSelectionMethod=latestReleased&amp;Rendition=primary" TargetMode="External"/><Relationship Id="rId17" Type="http://schemas.openxmlformats.org/officeDocument/2006/relationships/hyperlink" Target="https://nirn.fpg.unc.edu/resources/district-capacity-assessment-dca" TargetMode="External"/><Relationship Id="rId2" Type="http://schemas.openxmlformats.org/officeDocument/2006/relationships/customXml" Target="../customXml/item2.xml"/><Relationship Id="rId16" Type="http://schemas.openxmlformats.org/officeDocument/2006/relationships/hyperlink" Target="https://nirn.fpg.unc.edu/module-1/improvement-cyc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cific-edge.info/2010/08/or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resourceequi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network.org/use-focused-conversation"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8BF484-97AE-4389-891D-ACE74BEF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3891</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Minnesota Multi-tiered System of Supports Action Planning Guide</vt:lpstr>
    </vt:vector>
  </TitlesOfParts>
  <Company>Minnesota Department Of Education</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Multi-tiered System of Supports Action Planning Guide</dc:title>
  <dc:subject/>
  <dc:creator>Minnesota Department of Education</dc:creator>
  <cp:keywords/>
  <dc:description/>
  <cp:lastModifiedBy>McDonald, Gloriann (MDE)</cp:lastModifiedBy>
  <cp:revision>3</cp:revision>
  <dcterms:created xsi:type="dcterms:W3CDTF">2021-11-16T19:32:00Z</dcterms:created>
  <dcterms:modified xsi:type="dcterms:W3CDTF">2021-11-16T19:33:00Z</dcterms:modified>
</cp:coreProperties>
</file>